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479D9" w14:textId="77777777" w:rsidR="008D0246" w:rsidRDefault="008D02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Tech Industry of ALX Software Engineering is a dynamic and rapidly evolving field, driven by constant advancements in software development and the need for continuous learning. Software has become an integral part of our lives, powering everything from mobile applications and web platforms to artificial intelligence and cloud computing. As a result, the demand for skilled software engineers who can navigate these ever-changing technologies has never been higher.</w:t>
      </w:r>
    </w:p>
    <w:p w14:paraId="25836163" w14:textId="77777777" w:rsidR="008D0246" w:rsidRDefault="008D02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key characteristics of the industry is its emphasis on continuous learning. Software engineering professionals at ALX understand that to stay relevant and competitive, they must constantly update their skills and knowledge. New programming languages, frameworks, and tools emerge regularly, and staying up to date with these developments is crucial. ALX Software Engineering recognizes the importance of providing its engineers with opportunities for ongoing education and professional development, ensuring that they remain at the forefront of the industry.</w:t>
      </w:r>
    </w:p>
    <w:p w14:paraId="5C60ECE9" w14:textId="2A07F178" w:rsidR="008D0246" w:rsidRDefault="008D02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industry, having a high-capacity laptop like the MacBook Pro is highly advantageous. The MacBook Pro is known for its powerful performance, robust hardware, and compatibility with a wide range of programming languages and software development tools. With its fast processors, ample memory, and large storage capacity, the MacBook Pro enables software engineers to work efficiently on resource-intensive projects.</w:t>
      </w:r>
    </w:p>
    <w:p w14:paraId="0D6D9312" w14:textId="77777777" w:rsidR="008D0246" w:rsidRDefault="008D02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ALX Software Engineering recognizes the significance of providing its engineers with the necessary tools to excel in their work, and the MacBook Pro aligns perfectly with their goals. By equipping their workforce with powerful laptops, ALX ensures that their engineers have the necessary resources to develop innovative software solutions, collaborate effectively, and deliver high-quality products to their clients.</w:t>
      </w:r>
    </w:p>
    <w:p w14:paraId="3FAFC6A5" w14:textId="7EF06901" w:rsidR="008D0246" w:rsidRDefault="008D02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Tech Industry of ALX Software Engineering is a fast-paced and ever-evolving field that requires a commitment to continuous learning. The industry places a strong emphasis on staying up to date with the latest software developments, and ALX Software Engineering ensures that its engineers are equipped with the right tools for success. High-capacity laptops like the MacBook Pro play a vital role in enabling software engineers to meet the demands of their work efficiently, empowering them to create cutting-edge solutions and thrive in the tech industry's dynamic landscape</w:t>
      </w:r>
      <w:r w:rsidR="00381C90">
        <w:rPr>
          <w:rFonts w:ascii="Segoe UI" w:hAnsi="Segoe UI" w:cs="Segoe UI"/>
          <w:color w:val="374151"/>
        </w:rPr>
        <w:t xml:space="preserve"> </w:t>
      </w:r>
    </w:p>
    <w:p w14:paraId="069F58D7" w14:textId="77777777" w:rsidR="00317323" w:rsidRDefault="003173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tbl>
      <w:tblPr>
        <w:tblW w:w="4428"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27"/>
        <w:gridCol w:w="1410"/>
        <w:gridCol w:w="1391"/>
      </w:tblGrid>
      <w:tr w:rsidR="00381C90" w:rsidRPr="00381C90" w14:paraId="74CE917E" w14:textId="77777777" w:rsidTr="00AB507A">
        <w:trPr>
          <w:divId w:val="308443589"/>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53E5496" w14:textId="77777777" w:rsidR="00381C90" w:rsidRPr="00381C90" w:rsidRDefault="00381C90" w:rsidP="00381C90">
            <w:pPr>
              <w:spacing w:before="480" w:after="480" w:line="240" w:lineRule="auto"/>
              <w:jc w:val="center"/>
              <w:rPr>
                <w:rFonts w:ascii="Segoe UI" w:eastAsia="Times New Roman" w:hAnsi="Segoe UI" w:cs="Segoe UI"/>
                <w:b/>
                <w:bCs/>
                <w:color w:val="374151"/>
                <w:kern w:val="0"/>
                <w:sz w:val="21"/>
                <w:szCs w:val="21"/>
                <w14:ligatures w14:val="none"/>
              </w:rPr>
            </w:pPr>
            <w:r w:rsidRPr="00381C90">
              <w:rPr>
                <w:rFonts w:ascii="Segoe UI" w:eastAsia="Times New Roman" w:hAnsi="Segoe UI" w:cs="Segoe UI"/>
                <w:b/>
                <w:bCs/>
                <w:color w:val="374151"/>
                <w:kern w:val="0"/>
                <w:sz w:val="21"/>
                <w:szCs w:val="21"/>
                <w14:ligatures w14:val="none"/>
              </w:rPr>
              <w:t>Item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3FA920" w14:textId="77777777" w:rsidR="00381C90" w:rsidRPr="00381C90" w:rsidRDefault="00381C90" w:rsidP="00381C90">
            <w:pPr>
              <w:spacing w:before="480" w:after="480" w:line="240" w:lineRule="auto"/>
              <w:jc w:val="center"/>
              <w:rPr>
                <w:rFonts w:ascii="Segoe UI" w:eastAsia="Times New Roman" w:hAnsi="Segoe UI" w:cs="Segoe UI"/>
                <w:b/>
                <w:bCs/>
                <w:color w:val="374151"/>
                <w:kern w:val="0"/>
                <w:sz w:val="21"/>
                <w:szCs w:val="21"/>
                <w14:ligatures w14:val="none"/>
              </w:rPr>
            </w:pPr>
            <w:r w:rsidRPr="00381C90">
              <w:rPr>
                <w:rFonts w:ascii="Segoe UI" w:eastAsia="Times New Roman" w:hAnsi="Segoe UI" w:cs="Segoe UI"/>
                <w:b/>
                <w:bCs/>
                <w:color w:val="374151"/>
                <w:kern w:val="0"/>
                <w:sz w:val="21"/>
                <w:szCs w:val="21"/>
                <w14:ligatures w14:val="none"/>
              </w:rPr>
              <w:t>Monthly Amount (GH¢)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C481806" w14:textId="77777777" w:rsidR="00381C90" w:rsidRPr="00381C90" w:rsidRDefault="00381C90" w:rsidP="00381C90">
            <w:pPr>
              <w:spacing w:before="480" w:after="480" w:line="240" w:lineRule="auto"/>
              <w:jc w:val="center"/>
              <w:rPr>
                <w:rFonts w:ascii="Segoe UI" w:eastAsia="Times New Roman" w:hAnsi="Segoe UI" w:cs="Segoe UI"/>
                <w:b/>
                <w:bCs/>
                <w:color w:val="374151"/>
                <w:kern w:val="0"/>
                <w:sz w:val="21"/>
                <w:szCs w:val="21"/>
                <w14:ligatures w14:val="none"/>
              </w:rPr>
            </w:pPr>
            <w:r w:rsidRPr="00381C90">
              <w:rPr>
                <w:rFonts w:ascii="Segoe UI" w:eastAsia="Times New Roman" w:hAnsi="Segoe UI" w:cs="Segoe UI"/>
                <w:b/>
                <w:bCs/>
                <w:color w:val="374151"/>
                <w:kern w:val="0"/>
                <w:sz w:val="21"/>
                <w:szCs w:val="21"/>
                <w14:ligatures w14:val="none"/>
              </w:rPr>
              <w:t>Yearly Amount (GH¢)</w:t>
            </w:r>
          </w:p>
        </w:tc>
      </w:tr>
      <w:tr w:rsidR="00381C90" w:rsidRPr="00381C90" w14:paraId="497F1155" w14:textId="77777777" w:rsidTr="00AB507A">
        <w:trPr>
          <w:divId w:val="30844358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B07D98"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Accommodation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CEFC93"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600.00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BC4A66"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7,200.00</w:t>
            </w:r>
          </w:p>
        </w:tc>
      </w:tr>
      <w:tr w:rsidR="00381C90" w:rsidRPr="00381C90" w14:paraId="0F6B17E9" w14:textId="77777777" w:rsidTr="00AB507A">
        <w:trPr>
          <w:divId w:val="30844358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C8C166"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Food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B01F86"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900.00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B63DBB"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10,800.00</w:t>
            </w:r>
          </w:p>
        </w:tc>
      </w:tr>
      <w:tr w:rsidR="00381C90" w:rsidRPr="00381C90" w14:paraId="0DE812E3" w14:textId="77777777" w:rsidTr="00AB507A">
        <w:trPr>
          <w:divId w:val="30844358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810B7B"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Transportation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A22C3F"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900.00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88606D"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10,800.00</w:t>
            </w:r>
          </w:p>
        </w:tc>
      </w:tr>
      <w:tr w:rsidR="00381C90" w:rsidRPr="00381C90" w14:paraId="2FE5AC1C" w14:textId="77777777" w:rsidTr="00AB507A">
        <w:trPr>
          <w:divId w:val="30844358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29476A"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Internet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A562C9"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500.00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CB721D"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6,000.00</w:t>
            </w:r>
          </w:p>
        </w:tc>
      </w:tr>
      <w:tr w:rsidR="00381C90" w:rsidRPr="00381C90" w14:paraId="4BF094D7" w14:textId="77777777" w:rsidTr="00AB507A">
        <w:trPr>
          <w:divId w:val="30844358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088577"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Books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F4F128"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D47DF3"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3,000.00</w:t>
            </w:r>
          </w:p>
        </w:tc>
      </w:tr>
      <w:tr w:rsidR="00381C90" w:rsidRPr="00381C90" w14:paraId="14A822A3" w14:textId="77777777" w:rsidTr="00AB507A">
        <w:trPr>
          <w:divId w:val="30844358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8AD378"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Fridge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DF9ADA"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448B7D"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2,000.00</w:t>
            </w:r>
          </w:p>
        </w:tc>
      </w:tr>
      <w:tr w:rsidR="00381C90" w:rsidRPr="00381C90" w14:paraId="3E541DCC" w14:textId="77777777" w:rsidTr="00AB507A">
        <w:trPr>
          <w:divId w:val="30844358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459418"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Laptop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4F1E22"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43C7C8"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20,000.00</w:t>
            </w:r>
          </w:p>
        </w:tc>
      </w:tr>
      <w:tr w:rsidR="00381C90" w:rsidRPr="00381C90" w14:paraId="4CC1D9DB" w14:textId="77777777" w:rsidTr="00AB507A">
        <w:trPr>
          <w:divId w:val="30844358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07E24B"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Water bill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812027"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50.00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BB47E5"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600.00</w:t>
            </w:r>
          </w:p>
        </w:tc>
      </w:tr>
      <w:tr w:rsidR="00381C90" w:rsidRPr="00381C90" w14:paraId="1D6F107D" w14:textId="77777777" w:rsidTr="00AB507A">
        <w:trPr>
          <w:divId w:val="30844358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CF9334"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Light bill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4F1A45"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100.00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AF7D85"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1,200.00</w:t>
            </w:r>
          </w:p>
        </w:tc>
      </w:tr>
      <w:tr w:rsidR="00381C90" w:rsidRPr="00381C90" w14:paraId="13F3BB7A" w14:textId="77777777" w:rsidTr="00AB507A">
        <w:trPr>
          <w:divId w:val="30844358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D85597"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Gas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5854F4"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100.00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BFD8FB"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1,200.00</w:t>
            </w:r>
          </w:p>
        </w:tc>
      </w:tr>
      <w:tr w:rsidR="00381C90" w:rsidRPr="00381C90" w14:paraId="33230EBA" w14:textId="77777777" w:rsidTr="00AB507A">
        <w:trPr>
          <w:divId w:val="30844358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6BE3D5"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Overall Budget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1011CF"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3,150.00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880B37" w14:textId="77777777" w:rsidR="00381C90" w:rsidRPr="00381C90" w:rsidRDefault="00381C90" w:rsidP="00381C90">
            <w:pPr>
              <w:spacing w:before="480" w:after="480" w:line="240" w:lineRule="auto"/>
              <w:rPr>
                <w:rFonts w:ascii="Segoe UI" w:eastAsia="Times New Roman" w:hAnsi="Segoe UI" w:cs="Segoe UI"/>
                <w:color w:val="374151"/>
                <w:kern w:val="0"/>
                <w:sz w:val="21"/>
                <w:szCs w:val="21"/>
                <w14:ligatures w14:val="none"/>
              </w:rPr>
            </w:pPr>
            <w:r w:rsidRPr="00381C90">
              <w:rPr>
                <w:rFonts w:ascii="Segoe UI" w:eastAsia="Times New Roman" w:hAnsi="Segoe UI" w:cs="Segoe UI"/>
                <w:color w:val="374151"/>
                <w:kern w:val="0"/>
                <w:sz w:val="21"/>
                <w:szCs w:val="21"/>
                <w14:ligatures w14:val="none"/>
              </w:rPr>
              <w:t>63,000.00</w:t>
            </w:r>
          </w:p>
        </w:tc>
      </w:tr>
    </w:tbl>
    <w:p w14:paraId="7F33D590" w14:textId="03F5065F" w:rsidR="00381C90" w:rsidRPr="00381C90" w:rsidRDefault="00381C90" w:rsidP="00381C9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divId w:val="308443589"/>
        <w:rPr>
          <w:rFonts w:ascii="Segoe UI" w:hAnsi="Segoe UI" w:cs="Segoe UI"/>
          <w:color w:val="374151"/>
          <w:kern w:val="0"/>
          <w:sz w:val="24"/>
          <w:szCs w:val="24"/>
          <w14:ligatures w14:val="none"/>
        </w:rPr>
      </w:pPr>
      <w:r w:rsidRPr="00381C90">
        <w:rPr>
          <w:rFonts w:ascii="Segoe UI" w:hAnsi="Segoe UI" w:cs="Segoe UI"/>
          <w:color w:val="374151"/>
          <w:kern w:val="0"/>
          <w:sz w:val="24"/>
          <w:szCs w:val="24"/>
          <w14:ligatures w14:val="none"/>
        </w:rPr>
        <w:t>In the table above, the monthly and yearly amounts are filled in for most items. However, for the items that are yearly expenses (Books, Fridge, Laptop), the monthly portion is left blank (represented by ......) as these expenses are not incurred monthly. The overall budget indicates the total monthly amount (GH¢3,150.00) and the total yearly amount (GH¢63,000.00).</w:t>
      </w:r>
    </w:p>
    <w:p w14:paraId="23D9FC9B" w14:textId="77777777" w:rsidR="00381C90" w:rsidRDefault="00381C9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55648F1E" w14:textId="77777777" w:rsidR="008D0246" w:rsidRDefault="008D0246"/>
    <w:sectPr w:rsidR="008D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46"/>
    <w:rsid w:val="002A0945"/>
    <w:rsid w:val="00317323"/>
    <w:rsid w:val="00381C90"/>
    <w:rsid w:val="00726D59"/>
    <w:rsid w:val="008D0246"/>
    <w:rsid w:val="00A378D3"/>
    <w:rsid w:val="00AB507A"/>
    <w:rsid w:val="00BC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CA007"/>
  <w15:chartTrackingRefBased/>
  <w15:docId w15:val="{A3FB43D7-6677-564A-B66B-1D55AD88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246"/>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4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9</cp:revision>
  <dcterms:created xsi:type="dcterms:W3CDTF">2023-05-21T17:15:00Z</dcterms:created>
  <dcterms:modified xsi:type="dcterms:W3CDTF">2023-05-22T00:52:00Z</dcterms:modified>
</cp:coreProperties>
</file>