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423FF" w14:textId="1E11C762" w:rsidR="0031673C" w:rsidRDefault="00242056" w:rsidP="00242056">
      <w:pPr>
        <w:pStyle w:val="Heading1"/>
        <w:jc w:val="center"/>
      </w:pPr>
      <w:r>
        <w:t>Raport z wykonania prac badawczych</w:t>
      </w:r>
    </w:p>
    <w:p w14:paraId="713C468F" w14:textId="77777777" w:rsidR="00242056" w:rsidRDefault="00242056">
      <w:pPr>
        <w:rPr>
          <w:u w:val="single"/>
        </w:rPr>
      </w:pPr>
    </w:p>
    <w:p w14:paraId="72528CB6" w14:textId="32689581" w:rsidR="00242056" w:rsidRDefault="00242056">
      <w:r w:rsidRPr="00242056">
        <w:rPr>
          <w:u w:val="single"/>
        </w:rPr>
        <w:t>Poziom gotowości technicznej</w:t>
      </w:r>
      <w:r>
        <w:t>: 3</w:t>
      </w:r>
    </w:p>
    <w:p w14:paraId="49EF4BFD" w14:textId="5AC2CB64" w:rsidR="00242056" w:rsidRDefault="00242056">
      <w:r w:rsidRPr="00242056">
        <w:rPr>
          <w:u w:val="single"/>
        </w:rPr>
        <w:t>Opis prac objętych raportem:</w:t>
      </w:r>
      <w:r>
        <w:t xml:space="preserve"> </w:t>
      </w:r>
      <w:r w:rsidRPr="00242056">
        <w:t>Definicja wymagań dla urządzeń do fotografowania/nagrywania zdolnych do pracy w wymaganych warunkach (środowisko korozyjne, zagrożenie zabrudzeniem, brak światła.</w:t>
      </w:r>
    </w:p>
    <w:p w14:paraId="56BA2B86" w14:textId="695EF157" w:rsidR="00242056" w:rsidRDefault="00242056"/>
    <w:p w14:paraId="7A5D90F6" w14:textId="5C560C0F" w:rsidR="00242056" w:rsidRDefault="00242056">
      <w:r>
        <w:t>Raport z wykonania:</w:t>
      </w:r>
    </w:p>
    <w:p w14:paraId="398CC2CC" w14:textId="77777777" w:rsidR="00242056" w:rsidRPr="00796C0A" w:rsidRDefault="00242056" w:rsidP="00242056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6C0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Czynniki wpływające na skuteczne pozyskiwanie i przetwarzanie danych, jakimi są zmieniające się obrazy ścieków poddawanych procesom koagulacji i flokulacji</w:t>
      </w:r>
    </w:p>
    <w:p w14:paraId="6819CE1E" w14:textId="77777777" w:rsidR="00242056" w:rsidRPr="00796C0A" w:rsidRDefault="00242056" w:rsidP="00242056">
      <w:r w:rsidRPr="00796C0A">
        <w:t>Przystępując do projektu byliśmy świadomi, że uzyskanie zdjęć z wnętrza komory flotatora może być utrudnione z uwagi na:</w:t>
      </w:r>
    </w:p>
    <w:p w14:paraId="41055613" w14:textId="77777777" w:rsidR="00242056" w:rsidRPr="00796C0A" w:rsidRDefault="00242056" w:rsidP="00242056">
      <w:pPr>
        <w:numPr>
          <w:ilvl w:val="0"/>
          <w:numId w:val="1"/>
        </w:numPr>
        <w:contextualSpacing/>
      </w:pPr>
      <w:r w:rsidRPr="00796C0A">
        <w:t>niedostateczne oświetlenie,</w:t>
      </w:r>
    </w:p>
    <w:p w14:paraId="04C3F671" w14:textId="77777777" w:rsidR="00242056" w:rsidRPr="00796C0A" w:rsidRDefault="00242056" w:rsidP="00242056">
      <w:pPr>
        <w:numPr>
          <w:ilvl w:val="0"/>
          <w:numId w:val="1"/>
        </w:numPr>
        <w:contextualSpacing/>
      </w:pPr>
      <w:r w:rsidRPr="00796C0A">
        <w:t>wysoką mętność ścieków,</w:t>
      </w:r>
    </w:p>
    <w:p w14:paraId="6CD1F0DD" w14:textId="77777777" w:rsidR="00242056" w:rsidRPr="00796C0A" w:rsidRDefault="00242056" w:rsidP="00242056">
      <w:pPr>
        <w:numPr>
          <w:ilvl w:val="0"/>
          <w:numId w:val="1"/>
        </w:numPr>
        <w:contextualSpacing/>
      </w:pPr>
      <w:r w:rsidRPr="00796C0A">
        <w:t>szybki ruch kłaczków w komorze,</w:t>
      </w:r>
    </w:p>
    <w:p w14:paraId="4D1247BE" w14:textId="77777777" w:rsidR="00242056" w:rsidRPr="00796C0A" w:rsidRDefault="00242056" w:rsidP="00242056">
      <w:pPr>
        <w:numPr>
          <w:ilvl w:val="0"/>
          <w:numId w:val="1"/>
        </w:numPr>
        <w:contextualSpacing/>
      </w:pPr>
      <w:r w:rsidRPr="00796C0A">
        <w:t>pracę w zanurzeniu.</w:t>
      </w:r>
    </w:p>
    <w:p w14:paraId="51572ECC" w14:textId="77777777" w:rsidR="00242056" w:rsidRPr="00796C0A" w:rsidRDefault="00242056" w:rsidP="00242056">
      <w:r w:rsidRPr="00796C0A">
        <w:t>Pierwszy przyrząd badawczy, nazwany Batyskafem, został zaprojektowany w taki sposób, że:</w:t>
      </w:r>
    </w:p>
    <w:p w14:paraId="18AB1BBB" w14:textId="77777777" w:rsidR="00242056" w:rsidRPr="00796C0A" w:rsidRDefault="00242056" w:rsidP="00242056">
      <w:pPr>
        <w:numPr>
          <w:ilvl w:val="0"/>
          <w:numId w:val="2"/>
        </w:numPr>
        <w:contextualSpacing/>
      </w:pPr>
      <w:r w:rsidRPr="00796C0A">
        <w:t>zamontowane zostało źródło światła umiejscowione bezpośrednio wokół obiektywu, co miało rozwiązać problem braku oświetlenia</w:t>
      </w:r>
    </w:p>
    <w:p w14:paraId="7753A3AE" w14:textId="77777777" w:rsidR="00242056" w:rsidRPr="00796C0A" w:rsidRDefault="00242056" w:rsidP="00242056">
      <w:pPr>
        <w:numPr>
          <w:ilvl w:val="0"/>
          <w:numId w:val="2"/>
        </w:numPr>
        <w:contextualSpacing/>
      </w:pPr>
      <w:r w:rsidRPr="00796C0A">
        <w:t>wykorzystana została matryca o wysokiej rozdzielczości 8 Mpix, co miało pozwolić uzyskać wysoką rozdzielczość zdjęć i możliwość wyodrębnienia konturów kłaczków w mętnym środowisku</w:t>
      </w:r>
    </w:p>
    <w:p w14:paraId="5EBB46BD" w14:textId="77777777" w:rsidR="00242056" w:rsidRPr="00796C0A" w:rsidRDefault="00242056" w:rsidP="00242056">
      <w:pPr>
        <w:numPr>
          <w:ilvl w:val="0"/>
          <w:numId w:val="2"/>
        </w:numPr>
        <w:contextualSpacing/>
      </w:pPr>
      <w:r w:rsidRPr="00796C0A">
        <w:t>użyty został aparat z wbudowanym oprogramowaniem do automatyzacji parametrów fotografii (przesłona, migawka, etc), co miało ułatwić uzyskanie ostrych obrazów</w:t>
      </w:r>
    </w:p>
    <w:p w14:paraId="5195BCAA" w14:textId="77777777" w:rsidR="00242056" w:rsidRPr="00796C0A" w:rsidRDefault="00242056" w:rsidP="00242056">
      <w:pPr>
        <w:numPr>
          <w:ilvl w:val="0"/>
          <w:numId w:val="2"/>
        </w:numPr>
        <w:contextualSpacing/>
      </w:pPr>
      <w:r w:rsidRPr="00796C0A">
        <w:t>całość oprzyrządowania została umieszczona w specjalnie zaprojektowanej obudowie, która zapewnia wodoszczelność i odporność na trudne warunki eksploatacji</w:t>
      </w:r>
    </w:p>
    <w:p w14:paraId="7873B732" w14:textId="6A0D89EB" w:rsidR="00242056" w:rsidRPr="00796C0A" w:rsidRDefault="00242056" w:rsidP="00242056">
      <w:r w:rsidRPr="00796C0A">
        <w:t>W trakcie kolejnych wizyt na instalacjach</w:t>
      </w:r>
      <w:r>
        <w:rPr>
          <w:rStyle w:val="FootnoteReference"/>
        </w:rPr>
        <w:footnoteReference w:id="1"/>
      </w:r>
      <w:r w:rsidRPr="00796C0A">
        <w:t>, których celem było sprawdzenie działania Batyskafu i uzyskanie danych (zdjęć) do dalszych etapów badań ujawnione zostały kolejne czynniki wpływające na skuteczność pozyskania danych:</w:t>
      </w:r>
    </w:p>
    <w:p w14:paraId="0A47F985" w14:textId="77777777" w:rsidR="00242056" w:rsidRPr="00796C0A" w:rsidRDefault="00242056" w:rsidP="00242056">
      <w:pPr>
        <w:numPr>
          <w:ilvl w:val="0"/>
          <w:numId w:val="3"/>
        </w:numPr>
        <w:contextualSpacing/>
      </w:pPr>
      <w:r w:rsidRPr="00796C0A">
        <w:t>W przypadku oświetlania bardzo istotny okazał się kąt padania światła. Świecenie zza obiektywu powodowało powstanie refleksów świetlnych w pęcherzykach mieszanki saturacyjnej skierowanych bezpośrednio w obiektyw, a w efekcie nieczytelność zdjęć. W kolejnych próbach ustalono optymalne położenie źródła światła i kąt jego padania. Jednocześnie zaszła potrzeba użycia innego źródła światła</w:t>
      </w:r>
    </w:p>
    <w:p w14:paraId="063C1CA4" w14:textId="77777777" w:rsidR="00242056" w:rsidRPr="00796C0A" w:rsidRDefault="00242056" w:rsidP="00242056">
      <w:pPr>
        <w:numPr>
          <w:ilvl w:val="0"/>
          <w:numId w:val="3"/>
        </w:numPr>
        <w:contextualSpacing/>
      </w:pPr>
      <w:r w:rsidRPr="00796C0A">
        <w:t xml:space="preserve">Postępujące zabrudzenie wizjera. Liczyliśmy się z problemem zabrudzenia, ale w testach Batyskafu najbardziej przeszkadzało zabrudzenie pojawiające się przy zanurzaniu, w </w:t>
      </w:r>
      <w:r w:rsidRPr="00796C0A">
        <w:lastRenderedPageBreak/>
        <w:t>momencie przejścia przez kożuch flotatu. Ten czynnik nie będzie istotny na kolejnych etapach z uwagi na inny sposób montażu kamery w docelowym rozwiązaniu.</w:t>
      </w:r>
    </w:p>
    <w:p w14:paraId="4B237155" w14:textId="77777777" w:rsidR="00242056" w:rsidRPr="00796C0A" w:rsidRDefault="00242056" w:rsidP="00242056">
      <w:pPr>
        <w:numPr>
          <w:ilvl w:val="0"/>
          <w:numId w:val="3"/>
        </w:numPr>
        <w:contextualSpacing/>
      </w:pPr>
      <w:r w:rsidRPr="00796C0A">
        <w:t>Regulacja ostrości wykonywana automatycznie była niedoskonała z uwagi na bardzo dużą liczbę kłaczków, które powodowały duże obciążenie auto-focusa. W efekcie zdecydowaliśmy się na ręczne ustawienie ostrości.</w:t>
      </w:r>
    </w:p>
    <w:p w14:paraId="29BF94BC" w14:textId="77777777" w:rsidR="00242056" w:rsidRPr="00796C0A" w:rsidRDefault="00242056" w:rsidP="00242056">
      <w:pPr>
        <w:numPr>
          <w:ilvl w:val="0"/>
          <w:numId w:val="3"/>
        </w:numPr>
        <w:contextualSpacing/>
      </w:pPr>
      <w:r w:rsidRPr="00796C0A">
        <w:t>Szybki ruch kłaczków jako czynnik jest skorelowany z jakością oświetlenia. Przy odpowiednio intensywnym oświetleniu możliwe stało się użycie szybkiej migawki, która pozwala utrwalić ostry obraz.</w:t>
      </w:r>
    </w:p>
    <w:p w14:paraId="35B9B562" w14:textId="77777777" w:rsidR="00242056" w:rsidRPr="00796C0A" w:rsidRDefault="00242056" w:rsidP="00242056">
      <w:pPr>
        <w:numPr>
          <w:ilvl w:val="0"/>
          <w:numId w:val="3"/>
        </w:numPr>
        <w:contextualSpacing/>
      </w:pPr>
      <w:r w:rsidRPr="00796C0A">
        <w:t>Oprogramowanie i transfer danych. W trakcie prób potwierdziliśmy konieczność stosowania transferów pomiędzy aparatem a pamięcią trwałą wyłącznie po połączeniach fizycznych. Dodatkowo, połączenie musi zapewniać możliwość zdalnej diagnostyki. Istotna jest także możliwość resetowania ustawień i samego aparatu.</w:t>
      </w:r>
    </w:p>
    <w:p w14:paraId="30703636" w14:textId="02E8403D" w:rsidR="00242056" w:rsidRDefault="00242056" w:rsidP="00242056"/>
    <w:p w14:paraId="467F6B0B" w14:textId="77777777" w:rsidR="00E4079B" w:rsidRPr="00796C0A" w:rsidRDefault="00E4079B" w:rsidP="00E4079B">
      <w:r>
        <w:t>Po testach z wykorzystaniem p</w:t>
      </w:r>
      <w:r w:rsidRPr="00796C0A">
        <w:t>ierwsz</w:t>
      </w:r>
      <w:r>
        <w:t>ego</w:t>
      </w:r>
      <w:r w:rsidRPr="00796C0A">
        <w:t xml:space="preserve"> przyrząd</w:t>
      </w:r>
      <w:r>
        <w:t>u</w:t>
      </w:r>
      <w:r w:rsidRPr="00796C0A">
        <w:t xml:space="preserve"> badawcz</w:t>
      </w:r>
      <w:r>
        <w:t>ego</w:t>
      </w:r>
      <w:r w:rsidRPr="00796C0A">
        <w:t>, nazwan</w:t>
      </w:r>
      <w:r>
        <w:t>ego</w:t>
      </w:r>
      <w:r w:rsidRPr="00796C0A">
        <w:t xml:space="preserve"> Batyskafem</w:t>
      </w:r>
      <w:r>
        <w:t xml:space="preserve"> zebrano szereg doświadczeń, które posłużyły jako wytyczne dla drugiego przyrządu badawczego zwanego Wizjerem. W porównaniu do Batyskafu, Wizjer:</w:t>
      </w:r>
    </w:p>
    <w:p w14:paraId="213A6AE7" w14:textId="77777777" w:rsidR="00E4079B" w:rsidRDefault="00E4079B" w:rsidP="00E4079B">
      <w:pPr>
        <w:numPr>
          <w:ilvl w:val="0"/>
          <w:numId w:val="3"/>
        </w:numPr>
        <w:contextualSpacing/>
      </w:pPr>
      <w:r>
        <w:t>Zbiera zdjęcia w strumieniu ścieków bezpośrednio przed komorą flotatora, a nie w niej. Przemieszczenie urządzenia poza komorę flotatora uprościło jego budowę i procedurę instalacji.</w:t>
      </w:r>
    </w:p>
    <w:p w14:paraId="5923D497" w14:textId="77777777" w:rsidR="00E4079B" w:rsidRDefault="00E4079B" w:rsidP="00E4079B">
      <w:pPr>
        <w:numPr>
          <w:ilvl w:val="0"/>
          <w:numId w:val="3"/>
        </w:numPr>
        <w:contextualSpacing/>
      </w:pPr>
      <w:r>
        <w:t xml:space="preserve">Jest zabudowany na stałe, co zapewnia stały kąt padania światła. W tym przypadku światło jest skierowane bezpośrednio na obiektyw i oświetla kłaczki ‘od tyłu’, co zapobiega </w:t>
      </w:r>
      <w:r w:rsidRPr="00796C0A">
        <w:t>powsta</w:t>
      </w:r>
      <w:r>
        <w:t>waniu</w:t>
      </w:r>
      <w:r w:rsidRPr="00796C0A">
        <w:t xml:space="preserve"> refleksów świetlnych w pęcherzykach mieszanki saturacyjnej skierowanych bezpośrednio w obiektyw</w:t>
      </w:r>
      <w:r>
        <w:t>.</w:t>
      </w:r>
    </w:p>
    <w:p w14:paraId="4E9F994B" w14:textId="77777777" w:rsidR="00E4079B" w:rsidRPr="00796C0A" w:rsidRDefault="00E4079B" w:rsidP="00E4079B">
      <w:pPr>
        <w:numPr>
          <w:ilvl w:val="0"/>
          <w:numId w:val="3"/>
        </w:numPr>
        <w:contextualSpacing/>
      </w:pPr>
      <w:r>
        <w:t>Używa mocniejszego (50W w porównaniu do 7W) źródła światła.</w:t>
      </w:r>
    </w:p>
    <w:p w14:paraId="5BC8B66D" w14:textId="77777777" w:rsidR="00E4079B" w:rsidRPr="00796C0A" w:rsidRDefault="00E4079B" w:rsidP="00E4079B">
      <w:pPr>
        <w:numPr>
          <w:ilvl w:val="0"/>
          <w:numId w:val="3"/>
        </w:numPr>
        <w:contextualSpacing/>
      </w:pPr>
      <w:r>
        <w:t>Posiada wbudowany system oczyszczania pola widzenia obiektywu.</w:t>
      </w:r>
    </w:p>
    <w:p w14:paraId="3E0B47D1" w14:textId="77777777" w:rsidR="00E4079B" w:rsidRPr="00796C0A" w:rsidRDefault="00E4079B" w:rsidP="00E4079B">
      <w:pPr>
        <w:numPr>
          <w:ilvl w:val="0"/>
          <w:numId w:val="3"/>
        </w:numPr>
        <w:contextualSpacing/>
      </w:pPr>
      <w:r>
        <w:t>Ma ręcznie ustaloną stałą ogniskową obiektywu.</w:t>
      </w:r>
    </w:p>
    <w:p w14:paraId="51CEFD0F" w14:textId="77777777" w:rsidR="00E4079B" w:rsidRPr="00796C0A" w:rsidRDefault="00E4079B" w:rsidP="00E4079B">
      <w:pPr>
        <w:numPr>
          <w:ilvl w:val="0"/>
          <w:numId w:val="3"/>
        </w:numPr>
        <w:contextualSpacing/>
      </w:pPr>
      <w:r>
        <w:t>Używa znacznie szybszej (1/1500s vs 1/120s) migawki, co pozwala uchwycić ostre i nieporuszone zdjęcia kłaczków</w:t>
      </w:r>
      <w:r w:rsidRPr="00796C0A">
        <w:t>.</w:t>
      </w:r>
    </w:p>
    <w:p w14:paraId="0CCF0404" w14:textId="77777777" w:rsidR="00E4079B" w:rsidRPr="00796C0A" w:rsidRDefault="00E4079B" w:rsidP="00E4079B">
      <w:pPr>
        <w:numPr>
          <w:ilvl w:val="0"/>
          <w:numId w:val="3"/>
        </w:numPr>
        <w:contextualSpacing/>
      </w:pPr>
      <w:r>
        <w:t>Udostępnia użytkownikowi zarówno przewodową, jak i bezprzewodową transmisję danych.</w:t>
      </w:r>
    </w:p>
    <w:p w14:paraId="7CD9BF94" w14:textId="77777777" w:rsidR="00E4079B" w:rsidRDefault="00E4079B" w:rsidP="00E4079B"/>
    <w:p w14:paraId="48977E76" w14:textId="77777777" w:rsidR="00E4079B" w:rsidRPr="00796C0A" w:rsidRDefault="00E4079B" w:rsidP="00E4079B">
      <w:r>
        <w:t>Testy z wykorzystaniem Wizjera potwierdziły, że stanowi on lepsze rozwiązanie niż Batyskaf i kolejne instalacje powinny być wyposażone w Wizjery, a nie Batyskafy.</w:t>
      </w:r>
    </w:p>
    <w:p w14:paraId="22F513E4" w14:textId="4D0FB92E" w:rsidR="00E4079B" w:rsidRDefault="00E4079B" w:rsidP="00242056"/>
    <w:p w14:paraId="6F3FE60F" w14:textId="77777777" w:rsidR="00E4079B" w:rsidRPr="00796C0A" w:rsidRDefault="00E4079B" w:rsidP="00242056"/>
    <w:p w14:paraId="5BDC85A4" w14:textId="77777777" w:rsidR="00242056" w:rsidRPr="00796C0A" w:rsidRDefault="00242056" w:rsidP="00242056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6C0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Wymagania dla urządzeń do fotografowania/nagrywania zdolnych do pracy w wymaganych warunkach (środowisko korozyjne, zagrożenie zabrudzeniem, brak światła).</w:t>
      </w:r>
    </w:p>
    <w:p w14:paraId="245BFF2B" w14:textId="77777777" w:rsidR="00E4079B" w:rsidRPr="00796C0A" w:rsidRDefault="00E4079B" w:rsidP="00E4079B">
      <w:r w:rsidRPr="00796C0A">
        <w:t>Sensor:</w:t>
      </w:r>
    </w:p>
    <w:p w14:paraId="7858D4D5" w14:textId="77777777" w:rsidR="00E4079B" w:rsidRPr="00796C0A" w:rsidRDefault="00E4079B" w:rsidP="00E4079B">
      <w:pPr>
        <w:numPr>
          <w:ilvl w:val="0"/>
          <w:numId w:val="4"/>
        </w:numPr>
        <w:contextualSpacing/>
      </w:pPr>
      <w:r w:rsidRPr="00796C0A">
        <w:t>matryca min 8 Mpix CMOS kolorowa</w:t>
      </w:r>
    </w:p>
    <w:p w14:paraId="02E9E2C6" w14:textId="77777777" w:rsidR="00E4079B" w:rsidRPr="00BB116C" w:rsidRDefault="00E4079B" w:rsidP="00E4079B">
      <w:pPr>
        <w:numPr>
          <w:ilvl w:val="0"/>
          <w:numId w:val="4"/>
        </w:numPr>
        <w:contextualSpacing/>
      </w:pPr>
      <w:r w:rsidRPr="00BB116C">
        <w:lastRenderedPageBreak/>
        <w:t>global shutter (sensory typu rolling shutter są absolutnie niedopus</w:t>
      </w:r>
      <w:r>
        <w:t>zczalne)</w:t>
      </w:r>
    </w:p>
    <w:p w14:paraId="61AD6EEA" w14:textId="77777777" w:rsidR="00E4079B" w:rsidRPr="00796C0A" w:rsidRDefault="00E4079B" w:rsidP="00E4079B">
      <w:pPr>
        <w:numPr>
          <w:ilvl w:val="0"/>
          <w:numId w:val="4"/>
        </w:numPr>
        <w:contextualSpacing/>
      </w:pPr>
      <w:r w:rsidRPr="00796C0A">
        <w:t>możliwość ręcznej regulacji ostrości obiektywu</w:t>
      </w:r>
    </w:p>
    <w:p w14:paraId="5584EE8F" w14:textId="77777777" w:rsidR="00E4079B" w:rsidRPr="00796C0A" w:rsidRDefault="00E4079B" w:rsidP="00E4079B">
      <w:r w:rsidRPr="00796C0A">
        <w:t>Światło:</w:t>
      </w:r>
    </w:p>
    <w:p w14:paraId="67C0D5D7" w14:textId="77777777" w:rsidR="00E4079B" w:rsidRDefault="00E4079B" w:rsidP="00E4079B">
      <w:pPr>
        <w:numPr>
          <w:ilvl w:val="0"/>
          <w:numId w:val="5"/>
        </w:numPr>
        <w:contextualSpacing/>
      </w:pPr>
      <w:r>
        <w:t>Typ: LED</w:t>
      </w:r>
    </w:p>
    <w:p w14:paraId="6BD8768A" w14:textId="77777777" w:rsidR="00E4079B" w:rsidRPr="002410BC" w:rsidRDefault="00E4079B" w:rsidP="00E4079B">
      <w:pPr>
        <w:numPr>
          <w:ilvl w:val="0"/>
          <w:numId w:val="5"/>
        </w:numPr>
        <w:contextualSpacing/>
      </w:pPr>
      <w:r w:rsidRPr="002410BC">
        <w:t>jasność: &gt;4000 lumenów</w:t>
      </w:r>
    </w:p>
    <w:p w14:paraId="6A487960" w14:textId="77777777" w:rsidR="00E4079B" w:rsidRDefault="00E4079B" w:rsidP="00E4079B">
      <w:pPr>
        <w:numPr>
          <w:ilvl w:val="0"/>
          <w:numId w:val="5"/>
        </w:numPr>
        <w:contextualSpacing/>
      </w:pPr>
      <w:r w:rsidRPr="00796C0A">
        <w:t>barwa: biała</w:t>
      </w:r>
    </w:p>
    <w:p w14:paraId="796551C8" w14:textId="77777777" w:rsidR="00E4079B" w:rsidRPr="00796C0A" w:rsidRDefault="00E4079B" w:rsidP="00E4079B">
      <w:pPr>
        <w:numPr>
          <w:ilvl w:val="0"/>
          <w:numId w:val="5"/>
        </w:numPr>
        <w:contextualSpacing/>
      </w:pPr>
      <w:r>
        <w:t>ustawienie: wprost naprzeciwko sensora</w:t>
      </w:r>
    </w:p>
    <w:p w14:paraId="3EFF53CD" w14:textId="77777777" w:rsidR="00E4079B" w:rsidRPr="00796C0A" w:rsidRDefault="00E4079B" w:rsidP="00E4079B">
      <w:r w:rsidRPr="002410BC">
        <w:t>Obudowa:</w:t>
      </w:r>
    </w:p>
    <w:p w14:paraId="643EB9E9" w14:textId="77777777" w:rsidR="00E4079B" w:rsidRDefault="00E4079B" w:rsidP="00E4079B">
      <w:pPr>
        <w:numPr>
          <w:ilvl w:val="0"/>
          <w:numId w:val="6"/>
        </w:numPr>
        <w:contextualSpacing/>
      </w:pPr>
      <w:r>
        <w:t>montaż na rurociągu dostarczającym ścieki do flotatora</w:t>
      </w:r>
    </w:p>
    <w:p w14:paraId="556F02B3" w14:textId="77777777" w:rsidR="00E4079B" w:rsidRDefault="00E4079B" w:rsidP="00E4079B">
      <w:pPr>
        <w:numPr>
          <w:ilvl w:val="0"/>
          <w:numId w:val="6"/>
        </w:numPr>
        <w:contextualSpacing/>
      </w:pPr>
      <w:r>
        <w:t>czwórnik łączony kołnierzowo</w:t>
      </w:r>
    </w:p>
    <w:p w14:paraId="1EC76BD0" w14:textId="77777777" w:rsidR="00E4079B" w:rsidRDefault="00E4079B" w:rsidP="00E4079B">
      <w:pPr>
        <w:numPr>
          <w:ilvl w:val="0"/>
          <w:numId w:val="6"/>
        </w:numPr>
        <w:contextualSpacing/>
      </w:pPr>
      <w:r>
        <w:t>dwa szczelne wizjery</w:t>
      </w:r>
    </w:p>
    <w:p w14:paraId="637FDBC8" w14:textId="77777777" w:rsidR="00E4079B" w:rsidRDefault="00E4079B" w:rsidP="00E4079B">
      <w:pPr>
        <w:numPr>
          <w:ilvl w:val="0"/>
          <w:numId w:val="6"/>
        </w:numPr>
        <w:contextualSpacing/>
      </w:pPr>
      <w:r>
        <w:t>układ spłukiwania mieszanką saturacyjną lub powietrzem obu wizjerów</w:t>
      </w:r>
    </w:p>
    <w:p w14:paraId="3B1F83F7" w14:textId="77777777" w:rsidR="00E4079B" w:rsidRDefault="00E4079B" w:rsidP="00E4079B">
      <w:pPr>
        <w:numPr>
          <w:ilvl w:val="0"/>
          <w:numId w:val="6"/>
        </w:numPr>
        <w:contextualSpacing/>
      </w:pPr>
      <w:r>
        <w:t>uchwyty montażowe sensora z mikrokomputerem oraz źródła światła</w:t>
      </w:r>
    </w:p>
    <w:p w14:paraId="43165B52" w14:textId="77777777" w:rsidR="00E4079B" w:rsidRDefault="00E4079B" w:rsidP="00E4079B">
      <w:r w:rsidRPr="002410BC">
        <w:t>Funkcje realizowane przez urządzenie:</w:t>
      </w:r>
    </w:p>
    <w:p w14:paraId="4BBA224B" w14:textId="77777777" w:rsidR="00E4079B" w:rsidRDefault="00E4079B" w:rsidP="00E4079B">
      <w:pPr>
        <w:numPr>
          <w:ilvl w:val="0"/>
          <w:numId w:val="6"/>
        </w:numPr>
        <w:contextualSpacing/>
      </w:pPr>
      <w:r>
        <w:t>zasilanie źródła światła (230V) i mikrokomputera (12V)</w:t>
      </w:r>
    </w:p>
    <w:p w14:paraId="3EC2785B" w14:textId="77777777" w:rsidR="00E4079B" w:rsidRDefault="00E4079B" w:rsidP="00E4079B">
      <w:pPr>
        <w:numPr>
          <w:ilvl w:val="0"/>
          <w:numId w:val="6"/>
        </w:numPr>
        <w:contextualSpacing/>
      </w:pPr>
      <w:r>
        <w:t>zapewnienie łączności (ssh, sftp) poprzez sieć Internet</w:t>
      </w:r>
    </w:p>
    <w:p w14:paraId="458FFE1F" w14:textId="77777777" w:rsidR="00E4079B" w:rsidRDefault="00E4079B" w:rsidP="00E4079B">
      <w:pPr>
        <w:numPr>
          <w:ilvl w:val="0"/>
          <w:numId w:val="6"/>
        </w:numPr>
        <w:contextualSpacing/>
      </w:pPr>
      <w:r>
        <w:t>periodyczne spłukiwanie wizjerów z dysz zasilanych mieszanką saturacyjną</w:t>
      </w:r>
    </w:p>
    <w:p w14:paraId="4014B48B" w14:textId="77777777" w:rsidR="00E4079B" w:rsidRPr="002410BC" w:rsidRDefault="00E4079B" w:rsidP="00E4079B">
      <w:pPr>
        <w:numPr>
          <w:ilvl w:val="0"/>
          <w:numId w:val="6"/>
        </w:numPr>
        <w:contextualSpacing/>
      </w:pPr>
      <w:r>
        <w:t>osłona źródła światła i mikrokoputera z sensorem przed wilgocią i czynnikami agresywnymi</w:t>
      </w:r>
    </w:p>
    <w:p w14:paraId="64D71FDC" w14:textId="4E9A1929" w:rsidR="00242056" w:rsidRDefault="009D1328" w:rsidP="009D1328">
      <w:pPr>
        <w:pStyle w:val="Heading1"/>
      </w:pPr>
      <w:bookmarkStart w:id="0" w:name="_Hlk65330697"/>
      <w:r>
        <w:t>Ryzyka dla kolejnego poziomu gotowości</w:t>
      </w:r>
    </w:p>
    <w:p w14:paraId="08C40D38" w14:textId="68E7C51C" w:rsidR="009D1328" w:rsidRDefault="009D1328" w:rsidP="009D1328">
      <w:r>
        <w:t>W toku pra</w:t>
      </w:r>
      <w:r w:rsidR="00663275">
        <w:t>c</w:t>
      </w:r>
      <w:r>
        <w:t xml:space="preserve"> badawczych zidentyfikowano następujące ryzyka na drodze do podniesienia gotowości do poziomu IV:</w:t>
      </w:r>
      <w:bookmarkEnd w:id="0"/>
    </w:p>
    <w:p w14:paraId="2925A8EE" w14:textId="43ACE223" w:rsidR="0062442C" w:rsidRPr="009D1328" w:rsidRDefault="0062442C" w:rsidP="009D1328">
      <w:r>
        <w:t>Brak ryzyk dla omawianego obszaru prac.</w:t>
      </w:r>
    </w:p>
    <w:sectPr w:rsidR="0062442C" w:rsidRPr="009D132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7FE18E4E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663275">
      <w:fldChar w:fldCharType="begin"/>
    </w:r>
    <w:r w:rsidR="00663275">
      <w:instrText xml:space="preserve"> SECTIONPAGES   \* MERGEFORMAT </w:instrText>
    </w:r>
    <w:r w:rsidR="00663275">
      <w:fldChar w:fldCharType="separate"/>
    </w:r>
    <w:r w:rsidR="00663275">
      <w:rPr>
        <w:noProof/>
      </w:rPr>
      <w:t>3</w:t>
    </w:r>
    <w:r w:rsidR="00663275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  <w:footnote w:id="1">
    <w:p w14:paraId="2470FEAC" w14:textId="21D4BE74" w:rsidR="00242056" w:rsidRDefault="00242056">
      <w:pPr>
        <w:pStyle w:val="FootnoteText"/>
      </w:pPr>
      <w:r>
        <w:rPr>
          <w:rStyle w:val="FootnoteReference"/>
        </w:rPr>
        <w:footnoteRef/>
      </w:r>
      <w:r>
        <w:t xml:space="preserve"> Patrz zdjęcia z 2019-12-03, </w:t>
      </w:r>
      <w:r w:rsidR="0005384D">
        <w:t>2019-02-04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A00"/>
    <w:multiLevelType w:val="hybridMultilevel"/>
    <w:tmpl w:val="4BDE1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A02EE"/>
    <w:multiLevelType w:val="hybridMultilevel"/>
    <w:tmpl w:val="39501A56"/>
    <w:lvl w:ilvl="0" w:tplc="CD1C62E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03176"/>
    <w:multiLevelType w:val="hybridMultilevel"/>
    <w:tmpl w:val="4DFAD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055B4"/>
    <w:multiLevelType w:val="hybridMultilevel"/>
    <w:tmpl w:val="6AA83336"/>
    <w:lvl w:ilvl="0" w:tplc="CD1C62E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F3E55"/>
    <w:multiLevelType w:val="hybridMultilevel"/>
    <w:tmpl w:val="03A07BDA"/>
    <w:lvl w:ilvl="0" w:tplc="CD1C62E0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93206"/>
    <w:multiLevelType w:val="hybridMultilevel"/>
    <w:tmpl w:val="A7304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05384D"/>
    <w:rsid w:val="00242056"/>
    <w:rsid w:val="0031673C"/>
    <w:rsid w:val="0062442C"/>
    <w:rsid w:val="00663275"/>
    <w:rsid w:val="0079775C"/>
    <w:rsid w:val="00856F2B"/>
    <w:rsid w:val="009D1328"/>
    <w:rsid w:val="00E4079B"/>
    <w:rsid w:val="00E6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242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0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0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0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45B72F6F-7268-4BC0-867A-878EBD07D0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F8AE95-AB57-404C-B1E5-212000AEAB0C}"/>
</file>

<file path=customXml/itemProps3.xml><?xml version="1.0" encoding="utf-8"?>
<ds:datastoreItem xmlns:ds="http://schemas.openxmlformats.org/officeDocument/2006/customXml" ds:itemID="{417E81FF-9A5C-45C6-AEC3-E5F46B03A477}"/>
</file>

<file path=customXml/itemProps4.xml><?xml version="1.0" encoding="utf-8"?>
<ds:datastoreItem xmlns:ds="http://schemas.openxmlformats.org/officeDocument/2006/customXml" ds:itemID="{960F87A7-E2B3-4CF2-B146-74AACE0E4D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771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7</cp:revision>
  <dcterms:created xsi:type="dcterms:W3CDTF">2021-02-27T12:21:00Z</dcterms:created>
  <dcterms:modified xsi:type="dcterms:W3CDTF">2021-02-27T14:17:00Z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