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10B: Measuring Climate Change, Forcing Agents, and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47%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22.9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47.2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70.1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is much less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is much greater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stratospheric water vapor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surface albedo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solar irradiance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they cannot cause global-scale temperature changes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the global temperature changes they can cause are typically observable only for a year or two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albedo changes due to land use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carbon dioxide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other aerosol effects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the same 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warmer than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cooler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RFC1 Unique and threatened systems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</w:t>
        <w:tab/>
        <w:t xml:space="preserve">RFC2 Extreme weather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</w:t>
        <w:tab/>
        <w:t xml:space="preserve">RFC3 Distribution of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</w:t>
        <w:tab/>
        <w:t xml:space="preserve">RFC4 Global aggregate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e.</w:t>
        <w:tab/>
        <w:t xml:space="preserve">RFC5 Large scale singular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undetectable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c.</w:t>
        <w:tab/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very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FF10E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xG0KA9Zydf2tFpWEpOnPvu7Lw==">CgMxLjA4AHIhMUVfb0FRMy1nbjdWTy1VSjk5TjNaYUVNZjN1QlNNWHNy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2022-05-17T14:49:00Z</dcterms:created>
  <dc:creator>Katie O'Neill</dc:creator>
</cp:coreProperties>
</file>