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14A: Public Views of Climate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11%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18%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33%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7%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11%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18%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35%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34%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45%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13%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21%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decreasing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both increasing toward Alarmed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both increasing toward Dismissive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oppositely trending between these disparate extremes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34%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45%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59%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5%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3%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decreasing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about 25%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about 50%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about 75%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nearly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Rural counties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Counties with large metropolitan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Louisiana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Oklahoma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Utah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5kRVKCWzAukn6km3uGnA7788w==">CgMxLjA4AHIhMXd2V0JUdlVGNWFaaFBpOGlval9hS1FVQ29TLUc2YUFy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2022-05-17T15:35:00Z</dcterms:created>
  <dc:creator>Katie O'Neill</dc:creator>
</cp:coreProperties>
</file>