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Software Requirements Specification (SRS)</w:t>
      </w:r>
    </w:p>
    <w:p>
      <w:pPr>
        <w:jc w:val="center"/>
      </w:pPr>
      <w:r>
        <w:rPr>
          <w:i/>
        </w:rPr>
        <w:t>Project: ____________   Team: ____________   Date: ____________</w:t>
      </w:r>
    </w:p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t>Describe the purpose of this system in 2–3 sentences. (This section is not graded by the Quality agent; only the requirement tables below are.)</w:t>
      </w:r>
    </w:p>
    <w:p>
      <w:pPr>
        <w:pStyle w:val="Heading2"/>
      </w:pPr>
      <w:r>
        <w:t>1.2 Scope</w:t>
      </w:r>
    </w:p>
    <w:p>
      <w:r>
        <w:t>Briefly describe what the system does and its boundaries.</w:t>
      </w:r>
    </w:p>
    <w:p>
      <w:pPr>
        <w:pStyle w:val="Heading1"/>
      </w:pPr>
      <w:r>
        <w:t>2. Functional Requirements</w:t>
      </w:r>
    </w:p>
    <w:p>
      <w:r>
        <w:t>List each functional requirement in the table below. Keep one requirement per row. Follow ISO/IEC/IEEE 29148: specify actor, trigger/precondition, action, measurable criteria, and exception behavior. Include backward source (Source: ...) and forward verification (Test: ...) to achieve a Score 4 (Excellent).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2880"/>
          </w:tcPr>
          <w:p>
            <w:r>
              <w:t>FR-01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FR-02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FR-03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FR-04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FR-05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FR-06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FR-07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FR-08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1"/>
      </w:pPr>
      <w:r>
        <w:t>3. Non-Functional Requirements</w:t>
      </w:r>
    </w:p>
    <w:p>
      <w:r>
        <w:t>List quality attributes (performance, security, usability, …), one per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Category</w:t>
            </w:r>
          </w:p>
        </w:tc>
      </w:tr>
      <w:tr>
        <w:tc>
          <w:tcPr>
            <w:tcW w:type="dxa" w:w="2880"/>
          </w:tcPr>
          <w:p>
            <w:r>
              <w:t>NFR-01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NFR-02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NFR-03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NFR-04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i/>
          <w:sz w:val="18"/>
        </w:rPr>
        <w:t>ISO/IEC/IEEE 29148 Scoring Tip: To score 4/4 (100% - Excellent), ensure your requirement specifies: (1) Actor, (2) Trigger or precondition, (3) Measurable action/constraint, (4) Exception handling behavior, (5) Source link (e.g. Source: BR-xxx / STK-xxx), and (6) Verification link (e.g. Test: TC-xxx). Avoid vague adjectives like 'fast', 'secure', or 'user-friendly'.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