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B561" w14:textId="0B8F2185" w:rsidR="005E35A1" w:rsidRPr="00005F66" w:rsidRDefault="002A4BC5" w:rsidP="00EC0C1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POWDER </w:t>
      </w:r>
      <w:r w:rsidR="005E35A1" w:rsidRPr="00005F6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ED</w:t>
      </w:r>
      <w:r w:rsidR="0041670B" w:rsidRPr="00005F6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-</w:t>
      </w:r>
      <w:r w:rsidR="005E35A1" w:rsidRPr="00005F6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XRF </w:t>
      </w:r>
      <w:r w:rsidR="00796B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ANA</w:t>
      </w:r>
      <w:r w:rsidR="00345AA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</w:t>
      </w:r>
      <w:r w:rsidR="00796B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YSIS </w:t>
      </w:r>
      <w:r w:rsidR="008F619A" w:rsidRPr="00005F6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</w:t>
      </w:r>
      <w:r w:rsidR="00796BC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ROTOCOL</w:t>
      </w:r>
      <w:r w:rsidR="00005F6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749735E3" w14:textId="292B85EB" w:rsidR="005E35A1" w:rsidRPr="00FE7BFE" w:rsidRDefault="005E35A1" w:rsidP="00EC0C1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AA6BCBB" w14:textId="46810B71" w:rsidR="005E35A1" w:rsidRPr="00FE7BFE" w:rsidRDefault="005E35A1" w:rsidP="00EC0C1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E7B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By Martin </w:t>
      </w:r>
      <w:r w:rsidR="00C47A2B" w:rsidRPr="00FE7B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P. </w:t>
      </w:r>
      <w:r w:rsidRPr="00FE7BF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Pentrak, Ph.D., </w:t>
      </w:r>
    </w:p>
    <w:p w14:paraId="05BD454B" w14:textId="6BD2A23C" w:rsidR="005E35A1" w:rsidRPr="00C95537" w:rsidRDefault="005E35A1" w:rsidP="00EC0C1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</w:pPr>
      <w:r w:rsidRPr="00C95537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u w:val="single"/>
        </w:rPr>
        <w:t>XRD &amp; XRF Lab Manager</w:t>
      </w:r>
    </w:p>
    <w:p w14:paraId="330559E1" w14:textId="3C234D86" w:rsidR="00EA73E0" w:rsidRPr="0055740B" w:rsidRDefault="00AD3201" w:rsidP="00EC0C1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  <w:r w:rsidRPr="00C95537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  <w:t xml:space="preserve">Illinois State Geological Survey, </w:t>
      </w:r>
      <w:r w:rsidR="006F6897" w:rsidRPr="00C95537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  <w:t xml:space="preserve">Prairie Research Institute, </w:t>
      </w:r>
      <w:r w:rsidRPr="00C95537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  <w:t>University of Illinois</w:t>
      </w:r>
      <w:r w:rsidR="00C95537" w:rsidRPr="00C95537"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  <w:u w:val="single"/>
        </w:rPr>
        <w:t xml:space="preserve"> at Urbana-Champaign</w:t>
      </w:r>
    </w:p>
    <w:p w14:paraId="4D44EFE5" w14:textId="77777777" w:rsidR="00EA73E0" w:rsidRDefault="00EA73E0" w:rsidP="00EC0C1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0EE0245" w14:textId="77777777" w:rsidR="0055740B" w:rsidRDefault="005E35A1" w:rsidP="00EC0C1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E7BFE">
        <w:rPr>
          <w:rFonts w:ascii="Times New Roman" w:eastAsia="Times New Roman" w:hAnsi="Times New Roman" w:cs="Times New Roman"/>
          <w:sz w:val="24"/>
          <w:szCs w:val="24"/>
        </w:rPr>
        <w:t>Sample preparation and analyses were carried out at the X-Ray Fluorescence Laboratory at the Illinois State Geological Survey (ISGS)</w:t>
      </w:r>
      <w:r w:rsidR="00F30A0C" w:rsidRPr="00FE7BFE">
        <w:rPr>
          <w:rFonts w:ascii="Times New Roman" w:eastAsia="Times New Roman" w:hAnsi="Times New Roman" w:cs="Times New Roman"/>
          <w:sz w:val="24"/>
          <w:szCs w:val="24"/>
        </w:rPr>
        <w:t xml:space="preserve"> Prairie Research Institute, University of Illinois at Urbana-Champaign</w:t>
      </w:r>
      <w:r w:rsidRPr="00FE7B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9F20EB" w14:textId="77777777" w:rsidR="00EC0C19" w:rsidRDefault="00EC0C19" w:rsidP="00EC0C19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161DCF4" w14:textId="77777777" w:rsidR="0055740B" w:rsidRDefault="0055740B" w:rsidP="00EC0C19">
      <w:pPr>
        <w:pStyle w:val="NormalWeb"/>
        <w:spacing w:before="0" w:beforeAutospacing="0" w:after="0" w:afterAutospacing="0" w:line="360" w:lineRule="auto"/>
        <w:rPr>
          <w:rStyle w:val="Strong"/>
          <w:color w:val="0E101A"/>
        </w:rPr>
      </w:pPr>
      <w:r w:rsidRPr="002B0F1E">
        <w:rPr>
          <w:rStyle w:val="Strong"/>
          <w:color w:val="0E101A"/>
        </w:rPr>
        <w:t>METHOD</w:t>
      </w:r>
      <w:r>
        <w:rPr>
          <w:rStyle w:val="Strong"/>
          <w:color w:val="0E101A"/>
        </w:rPr>
        <w:t>OLOGY</w:t>
      </w:r>
    </w:p>
    <w:p w14:paraId="0438911A" w14:textId="77777777" w:rsidR="00EF4022" w:rsidRDefault="00EF4022" w:rsidP="00EC0C19">
      <w:pPr>
        <w:pStyle w:val="NormalWeb"/>
        <w:spacing w:before="0" w:beforeAutospacing="0" w:after="0" w:afterAutospacing="0" w:line="360" w:lineRule="auto"/>
        <w:rPr>
          <w:rStyle w:val="Strong"/>
          <w:color w:val="0E101A"/>
        </w:rPr>
      </w:pPr>
    </w:p>
    <w:p w14:paraId="11D44261" w14:textId="77777777" w:rsidR="00EF2DEE" w:rsidRPr="00230EB4" w:rsidRDefault="00EF2DEE" w:rsidP="00EF2DEE">
      <w:pPr>
        <w:pStyle w:val="NormalWeb"/>
        <w:spacing w:before="0" w:beforeAutospacing="0" w:after="120" w:afterAutospacing="0" w:line="360" w:lineRule="auto"/>
        <w:rPr>
          <w:rStyle w:val="Strong"/>
          <w:u w:val="single"/>
        </w:rPr>
      </w:pPr>
      <w:r w:rsidRPr="00776937">
        <w:rPr>
          <w:rStyle w:val="Strong"/>
          <w:color w:val="0E101A"/>
          <w:u w:val="single"/>
        </w:rPr>
        <w:t>Sample</w:t>
      </w:r>
      <w:r w:rsidRPr="00230EB4">
        <w:rPr>
          <w:rStyle w:val="Strong"/>
          <w:u w:val="single"/>
        </w:rPr>
        <w:t xml:space="preserve"> preparation</w:t>
      </w:r>
    </w:p>
    <w:p w14:paraId="17033990" w14:textId="223511E1" w:rsidR="00EF2DEE" w:rsidRDefault="00EF2DEE" w:rsidP="00EF2DEE">
      <w:pPr>
        <w:pStyle w:val="NormalWeb"/>
        <w:spacing w:before="0" w:beforeAutospacing="0" w:after="0" w:afterAutospacing="0" w:line="360" w:lineRule="auto"/>
        <w:ind w:firstLine="720"/>
        <w:rPr>
          <w:color w:val="0E101A"/>
        </w:rPr>
      </w:pPr>
      <w:r>
        <w:rPr>
          <w:color w:val="0E101A"/>
        </w:rPr>
        <w:t>The whole samples are dried</w:t>
      </w:r>
      <w:r w:rsidR="0035226A">
        <w:rPr>
          <w:color w:val="0E101A"/>
        </w:rPr>
        <w:t xml:space="preserve"> at 105°C overnight</w:t>
      </w:r>
      <w:r>
        <w:rPr>
          <w:color w:val="0E101A"/>
        </w:rPr>
        <w:t>, gently ground, sieved, and less than 250 µm fraction is collected.</w:t>
      </w:r>
    </w:p>
    <w:p w14:paraId="4E93A957" w14:textId="77777777" w:rsidR="00EF2DEE" w:rsidRDefault="00EF2DEE" w:rsidP="00EC0C19">
      <w:pPr>
        <w:pStyle w:val="NormalWeb"/>
        <w:spacing w:before="0" w:beforeAutospacing="0" w:after="0" w:afterAutospacing="0" w:line="360" w:lineRule="auto"/>
        <w:rPr>
          <w:rStyle w:val="Strong"/>
          <w:color w:val="0E101A"/>
        </w:rPr>
      </w:pPr>
    </w:p>
    <w:p w14:paraId="4DE5BF36" w14:textId="3D40A459" w:rsidR="0055740B" w:rsidRPr="00925493" w:rsidRDefault="00925493" w:rsidP="00925493">
      <w:pPr>
        <w:pStyle w:val="NormalWeb"/>
        <w:spacing w:before="0" w:beforeAutospacing="0" w:after="120" w:afterAutospacing="0" w:line="360" w:lineRule="auto"/>
        <w:rPr>
          <w:b/>
          <w:bCs/>
          <w:color w:val="000000"/>
          <w:u w:val="single"/>
        </w:rPr>
      </w:pPr>
      <w:r w:rsidRPr="00776937">
        <w:rPr>
          <w:b/>
          <w:bCs/>
          <w:color w:val="000000"/>
          <w:u w:val="single"/>
        </w:rPr>
        <w:t>The XR</w:t>
      </w:r>
      <w:r>
        <w:rPr>
          <w:b/>
          <w:bCs/>
          <w:color w:val="000000"/>
          <w:u w:val="single"/>
        </w:rPr>
        <w:t>F</w:t>
      </w:r>
      <w:r w:rsidRPr="00776937">
        <w:rPr>
          <w:b/>
          <w:bCs/>
          <w:color w:val="000000"/>
          <w:u w:val="single"/>
        </w:rPr>
        <w:t xml:space="preserve"> analysis of the powder</w:t>
      </w:r>
      <w:r>
        <w:rPr>
          <w:b/>
          <w:bCs/>
          <w:color w:val="000000"/>
          <w:u w:val="single"/>
        </w:rPr>
        <w:t xml:space="preserve"> samples</w:t>
      </w:r>
      <w:r w:rsidRPr="00776937">
        <w:rPr>
          <w:b/>
          <w:bCs/>
          <w:color w:val="000000"/>
          <w:u w:val="single"/>
        </w:rPr>
        <w:t> </w:t>
      </w:r>
    </w:p>
    <w:p w14:paraId="3EB81EDF" w14:textId="74E7E4FF" w:rsidR="00164C45" w:rsidRDefault="00B25FC1" w:rsidP="00655F2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Powder</w:t>
      </w:r>
      <w:r w:rsidR="00345F3C" w:rsidRPr="00FE7BFE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amples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re analyzed </w:t>
      </w:r>
      <w:r w:rsidR="00900B90" w:rsidRPr="00FE7BFE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FB7883" w:rsidRPr="00FE7BFE">
        <w:rPr>
          <w:rFonts w:ascii="Times New Roman" w:eastAsia="Times New Roman" w:hAnsi="Times New Roman" w:cs="Times New Roman"/>
          <w:sz w:val="24"/>
          <w:szCs w:val="24"/>
        </w:rPr>
        <w:t xml:space="preserve">Rigaku NEX CG </w:t>
      </w:r>
      <w:r w:rsidR="00B370D9" w:rsidRPr="00FE7BFE">
        <w:rPr>
          <w:rFonts w:ascii="Times New Roman" w:eastAsia="Times New Roman" w:hAnsi="Times New Roman" w:cs="Times New Roman"/>
          <w:sz w:val="24"/>
          <w:szCs w:val="24"/>
        </w:rPr>
        <w:t>Energy-Dispersive X-Ray Fluorescence (</w:t>
      </w:r>
      <w:r w:rsidR="00FB7883" w:rsidRPr="00FE7BFE">
        <w:rPr>
          <w:rFonts w:ascii="Times New Roman" w:eastAsia="Times New Roman" w:hAnsi="Times New Roman" w:cs="Times New Roman"/>
          <w:sz w:val="24"/>
          <w:szCs w:val="24"/>
        </w:rPr>
        <w:t>ED-XRF</w:t>
      </w:r>
      <w:r w:rsidR="00B370D9" w:rsidRPr="00FE7BFE">
        <w:rPr>
          <w:rFonts w:ascii="Times New Roman" w:eastAsia="Times New Roman" w:hAnsi="Times New Roman" w:cs="Times New Roman"/>
          <w:sz w:val="24"/>
          <w:szCs w:val="24"/>
        </w:rPr>
        <w:t>)</w:t>
      </w:r>
      <w:r w:rsidR="00FB7883" w:rsidRPr="00FE7BFE">
        <w:rPr>
          <w:rFonts w:ascii="Times New Roman" w:eastAsia="Times New Roman" w:hAnsi="Times New Roman" w:cs="Times New Roman"/>
          <w:sz w:val="24"/>
          <w:szCs w:val="24"/>
        </w:rPr>
        <w:t xml:space="preserve"> spectrometer </w:t>
      </w:r>
      <w:r w:rsidR="00B370D9" w:rsidRPr="00FE7BFE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="00831895" w:rsidRPr="00FE7BF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>non-destructive</w:t>
      </w:r>
      <w:r w:rsidR="00900B90" w:rsidRPr="00FE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>method</w:t>
      </w:r>
      <w:r w:rsidR="00831895" w:rsidRPr="00FE7BFE">
        <w:rPr>
          <w:rFonts w:ascii="Times New Roman" w:eastAsia="Times New Roman" w:hAnsi="Times New Roman" w:cs="Times New Roman"/>
          <w:sz w:val="24"/>
          <w:szCs w:val="24"/>
        </w:rPr>
        <w:t>ology</w:t>
      </w:r>
      <w:r w:rsidR="000F04F4" w:rsidRPr="00FE7BFE">
        <w:rPr>
          <w:rFonts w:ascii="Times New Roman" w:eastAsia="Times New Roman" w:hAnsi="Times New Roman" w:cs="Times New Roman"/>
          <w:sz w:val="24"/>
          <w:szCs w:val="24"/>
        </w:rPr>
        <w:t>.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6D4A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amples</w:t>
      </w:r>
      <w:r w:rsidR="00C745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86D4A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A01460" w:rsidRPr="00FE7BFE">
        <w:rPr>
          <w:rFonts w:ascii="Times New Roman" w:eastAsia="Times New Roman" w:hAnsi="Times New Roman" w:cs="Times New Roman"/>
          <w:sz w:val="24"/>
          <w:szCs w:val="24"/>
        </w:rPr>
        <w:t>placed</w:t>
      </w:r>
      <w:r w:rsidR="00950F56" w:rsidRPr="00FE7BFE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="00CF5213" w:rsidRPr="00FE7BFE">
        <w:rPr>
          <w:rFonts w:ascii="Times New Roman" w:eastAsia="Times New Roman" w:hAnsi="Times New Roman" w:cs="Times New Roman"/>
          <w:sz w:val="24"/>
          <w:szCs w:val="24"/>
        </w:rPr>
        <w:t>sample</w:t>
      </w:r>
      <w:r w:rsidR="00950F56" w:rsidRPr="00FE7BFE">
        <w:rPr>
          <w:rFonts w:ascii="Times New Roman" w:eastAsia="Times New Roman" w:hAnsi="Times New Roman" w:cs="Times New Roman"/>
          <w:sz w:val="24"/>
          <w:szCs w:val="24"/>
        </w:rPr>
        <w:t xml:space="preserve"> holder</w:t>
      </w:r>
      <w:r w:rsidR="00E86D4A">
        <w:rPr>
          <w:rFonts w:ascii="Times New Roman" w:eastAsia="Times New Roman" w:hAnsi="Times New Roman" w:cs="Times New Roman"/>
          <w:sz w:val="24"/>
          <w:szCs w:val="24"/>
        </w:rPr>
        <w:t>s</w:t>
      </w:r>
      <w:r w:rsidR="00950F56" w:rsidRPr="00FE7B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73CF" w:rsidRPr="00FE7BF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fitted with a </w:t>
      </w:r>
      <w:proofErr w:type="spellStart"/>
      <w:r w:rsidR="004B73CF" w:rsidRPr="00FE7BFE">
        <w:rPr>
          <w:rFonts w:ascii="Times New Roman" w:hAnsi="Times New Roman" w:cs="Times New Roman"/>
          <w:sz w:val="24"/>
          <w:szCs w:val="24"/>
          <w:shd w:val="clear" w:color="auto" w:fill="FFFFFF"/>
        </w:rPr>
        <w:t>Chemplex</w:t>
      </w:r>
      <w:proofErr w:type="spellEnd"/>
      <w:r w:rsidR="004B73CF" w:rsidRPr="00FE7BF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Industries, Inc. Prolene® film</w:t>
      </w:r>
      <w:r w:rsidR="00E86D4A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7F4D4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FE7BFE" w:rsidRPr="00FE7BF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then placed into the </w:t>
      </w:r>
      <w:r w:rsidR="00A45EC6" w:rsidRPr="00FE7BFE">
        <w:rPr>
          <w:rFonts w:ascii="Times New Roman" w:eastAsia="Times New Roman" w:hAnsi="Times New Roman" w:cs="Times New Roman"/>
          <w:sz w:val="24"/>
          <w:szCs w:val="24"/>
        </w:rPr>
        <w:t>s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pectrometer sample chamber </w:t>
      </w:r>
      <w:r w:rsidR="00014BDF">
        <w:rPr>
          <w:rFonts w:ascii="Times New Roman" w:eastAsia="Times New Roman" w:hAnsi="Times New Roman" w:cs="Times New Roman"/>
          <w:sz w:val="24"/>
          <w:szCs w:val="24"/>
        </w:rPr>
        <w:t xml:space="preserve">equipped with 15-position sample changer 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above the X-ray source window and measured under an </w:t>
      </w:r>
      <w:r w:rsidR="00950F56" w:rsidRPr="00FE7BFE">
        <w:rPr>
          <w:rFonts w:ascii="Times New Roman" w:eastAsia="Times New Roman" w:hAnsi="Times New Roman" w:cs="Times New Roman"/>
          <w:sz w:val="24"/>
          <w:szCs w:val="24"/>
        </w:rPr>
        <w:t>He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 atmosphere</w:t>
      </w:r>
      <w:r w:rsidR="00950F56" w:rsidRPr="00FE7B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5E35A1" w:rsidRPr="00FE7BFE">
        <w:rPr>
          <w:rFonts w:ascii="Times New Roman" w:eastAsia="Times New Roman" w:hAnsi="Times New Roman" w:cs="Times New Roman"/>
          <w:sz w:val="24"/>
          <w:szCs w:val="24"/>
        </w:rPr>
        <w:t xml:space="preserve">The instrument specifications include a 50-watt Pd-anode end window X-ray tube, four secondary targets (RX9, Cu, Mo, and Al), a 20 mm diaphragm, and a high-performance silicon drift detector (SDD). Secondary targets with measuring time 100 s (RX9, Cu, and Mo) and 200 s (Al) provide high peak to background (P/B) ratios compared to direct excitation instruments. </w:t>
      </w:r>
    </w:p>
    <w:p w14:paraId="63992DA9" w14:textId="77777777" w:rsidR="0013723D" w:rsidRDefault="0013723D" w:rsidP="00655F2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6897F93" w14:textId="77777777" w:rsidR="00EF4022" w:rsidRDefault="00EF4022" w:rsidP="00655F2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BDBBF13" w14:textId="7874EF65" w:rsidR="004D7170" w:rsidRPr="00776937" w:rsidRDefault="004D7170" w:rsidP="004D7170">
      <w:pPr>
        <w:pStyle w:val="NormalWeb"/>
        <w:spacing w:before="0" w:beforeAutospacing="0" w:after="120" w:afterAutospacing="0" w:line="360" w:lineRule="auto"/>
        <w:rPr>
          <w:b/>
          <w:bCs/>
          <w:color w:val="000000"/>
          <w:u w:val="single"/>
        </w:rPr>
      </w:pPr>
      <w:r w:rsidRPr="006F4B56">
        <w:rPr>
          <w:b/>
          <w:bCs/>
          <w:color w:val="000000"/>
          <w:u w:val="single"/>
        </w:rPr>
        <w:lastRenderedPageBreak/>
        <w:t>The XR</w:t>
      </w:r>
      <w:r>
        <w:rPr>
          <w:b/>
          <w:bCs/>
          <w:color w:val="000000"/>
          <w:u w:val="single"/>
        </w:rPr>
        <w:t>F</w:t>
      </w:r>
      <w:r w:rsidRPr="006F4B56">
        <w:rPr>
          <w:b/>
          <w:bCs/>
          <w:color w:val="000000"/>
          <w:u w:val="single"/>
        </w:rPr>
        <w:t xml:space="preserve"> data analysis</w:t>
      </w:r>
    </w:p>
    <w:p w14:paraId="6A9DD943" w14:textId="38851C64" w:rsidR="009942BD" w:rsidRPr="00FE7BFE" w:rsidRDefault="005E35A1" w:rsidP="00655F2A">
      <w:pPr>
        <w:spacing w:after="0" w:line="360" w:lineRule="auto"/>
        <w:ind w:firstLine="720"/>
        <w:rPr>
          <w:sz w:val="24"/>
          <w:szCs w:val="24"/>
        </w:rPr>
      </w:pPr>
      <w:r w:rsidRPr="00FE7BFE">
        <w:rPr>
          <w:rFonts w:ascii="Times New Roman" w:eastAsia="Times New Roman" w:hAnsi="Times New Roman" w:cs="Times New Roman"/>
          <w:sz w:val="24"/>
          <w:szCs w:val="24"/>
        </w:rPr>
        <w:t xml:space="preserve">Semi-quantitative analyses </w:t>
      </w:r>
      <w:r w:rsidR="00655F2A">
        <w:rPr>
          <w:rFonts w:ascii="Times New Roman" w:eastAsia="Times New Roman" w:hAnsi="Times New Roman" w:cs="Times New Roman"/>
          <w:sz w:val="24"/>
          <w:szCs w:val="24"/>
        </w:rPr>
        <w:t>are</w:t>
      </w:r>
      <w:r w:rsidRPr="00FE7BFE">
        <w:rPr>
          <w:rFonts w:ascii="Times New Roman" w:eastAsia="Times New Roman" w:hAnsi="Times New Roman" w:cs="Times New Roman"/>
          <w:sz w:val="24"/>
          <w:szCs w:val="24"/>
        </w:rPr>
        <w:t xml:space="preserve"> obtained using Rigaku’s RPF-SQX (Rigaku Profile Fitting-Spectra Quant X) software </w:t>
      </w:r>
      <w:r w:rsidR="00655F2A" w:rsidRPr="00FE7BFE">
        <w:rPr>
          <w:rFonts w:ascii="Times New Roman" w:eastAsia="Times New Roman" w:hAnsi="Times New Roman" w:cs="Times New Roman"/>
          <w:sz w:val="24"/>
          <w:szCs w:val="24"/>
        </w:rPr>
        <w:t>combined</w:t>
      </w:r>
      <w:r w:rsidRPr="00FE7BFE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="00655F2A">
        <w:rPr>
          <w:rFonts w:ascii="Times New Roman" w:eastAsia="Times New Roman" w:hAnsi="Times New Roman" w:cs="Times New Roman"/>
          <w:sz w:val="24"/>
          <w:szCs w:val="24"/>
        </w:rPr>
        <w:t>Powder</w:t>
      </w:r>
      <w:r w:rsidRPr="00FE7BFE">
        <w:rPr>
          <w:rFonts w:ascii="Times New Roman" w:eastAsia="Times New Roman" w:hAnsi="Times New Roman" w:cs="Times New Roman"/>
          <w:sz w:val="24"/>
          <w:szCs w:val="24"/>
        </w:rPr>
        <w:t xml:space="preserve"> FP (fundamental parameters) method. The software determines the lower limit of detection (LLD or LOD) defined by the lowest concentration distinguished from the background.</w:t>
      </w:r>
      <w:r w:rsidR="00F34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50FA" w:rsidRPr="00FE7BFE">
        <w:rPr>
          <w:rFonts w:ascii="Times New Roman" w:hAnsi="Times New Roman" w:cs="Times New Roman"/>
          <w:sz w:val="24"/>
        </w:rPr>
        <w:t xml:space="preserve">Precision and accuracy are determined by analyzing sample </w:t>
      </w:r>
      <w:r w:rsidR="00F34478">
        <w:rPr>
          <w:rFonts w:ascii="Times New Roman" w:hAnsi="Times New Roman" w:cs="Times New Roman"/>
          <w:sz w:val="24"/>
        </w:rPr>
        <w:t>tripl</w:t>
      </w:r>
      <w:r w:rsidR="00A650FA" w:rsidRPr="00FE7BFE">
        <w:rPr>
          <w:rFonts w:ascii="Times New Roman" w:hAnsi="Times New Roman" w:cs="Times New Roman"/>
          <w:sz w:val="24"/>
        </w:rPr>
        <w:t>icates as well as certified references materials from the National Institute of Standards &amp; Technology (NIST).</w:t>
      </w:r>
    </w:p>
    <w:sectPr w:rsidR="009942BD" w:rsidRPr="00FE7BF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81F2" w14:textId="77777777" w:rsidR="00B32DF4" w:rsidRDefault="00B32DF4" w:rsidP="009942BD">
      <w:pPr>
        <w:spacing w:after="0" w:line="240" w:lineRule="auto"/>
      </w:pPr>
      <w:r>
        <w:separator/>
      </w:r>
    </w:p>
  </w:endnote>
  <w:endnote w:type="continuationSeparator" w:id="0">
    <w:p w14:paraId="6C07EF14" w14:textId="77777777" w:rsidR="00B32DF4" w:rsidRDefault="00B32DF4" w:rsidP="00994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DA8D" w14:textId="77777777" w:rsidR="004F0B3E" w:rsidRDefault="004F0B3E" w:rsidP="004F0B3E">
    <w:pPr>
      <w:spacing w:line="360" w:lineRule="auto"/>
      <w:rPr>
        <w:rFonts w:ascii="Times New Roman" w:hAnsi="Times New Roman" w:cs="Times New Roman"/>
        <w:sz w:val="20"/>
        <w:szCs w:val="20"/>
      </w:rPr>
    </w:pPr>
    <w:r w:rsidRPr="00117182">
      <w:rPr>
        <w:rFonts w:ascii="Times New Roman" w:hAnsi="Times New Roman" w:cs="Times New Roman"/>
        <w:b/>
        <w:bCs/>
        <w:noProof/>
        <w:sz w:val="16"/>
        <w:szCs w:val="16"/>
      </w:rPr>
      <w:drawing>
        <wp:inline distT="0" distB="0" distL="0" distR="0" wp14:anchorId="5E3C11BC" wp14:editId="70F16C06">
          <wp:extent cx="1061333" cy="707555"/>
          <wp:effectExtent l="0" t="0" r="5715" b="0"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4064" cy="769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2F3147" w14:textId="11C55F97" w:rsidR="009942BD" w:rsidRPr="006667D6" w:rsidRDefault="009942BD" w:rsidP="004F0B3E">
    <w:pPr>
      <w:spacing w:line="360" w:lineRule="auto"/>
      <w:jc w:val="right"/>
      <w:rPr>
        <w:rFonts w:ascii="Times New Roman" w:hAnsi="Times New Roman" w:cs="Times New Roman"/>
        <w:b/>
        <w:bCs/>
        <w:sz w:val="16"/>
        <w:szCs w:val="16"/>
      </w:rPr>
    </w:pPr>
    <w:r w:rsidRPr="006667D6">
      <w:rPr>
        <w:rFonts w:ascii="Times New Roman" w:hAnsi="Times New Roman" w:cs="Times New Roman"/>
        <w:b/>
        <w:bCs/>
        <w:sz w:val="16"/>
        <w:szCs w:val="16"/>
      </w:rPr>
      <w:t>Last update: 2025-01-21</w:t>
    </w:r>
  </w:p>
  <w:p w14:paraId="732DF0C6" w14:textId="77777777" w:rsidR="009942BD" w:rsidRPr="00336402" w:rsidRDefault="009942BD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ADF85" w14:textId="77777777" w:rsidR="00B32DF4" w:rsidRDefault="00B32DF4" w:rsidP="009942BD">
      <w:pPr>
        <w:spacing w:after="0" w:line="240" w:lineRule="auto"/>
      </w:pPr>
      <w:r>
        <w:separator/>
      </w:r>
    </w:p>
  </w:footnote>
  <w:footnote w:type="continuationSeparator" w:id="0">
    <w:p w14:paraId="1B205A54" w14:textId="77777777" w:rsidR="00B32DF4" w:rsidRDefault="00B32DF4" w:rsidP="00994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4ED6" w14:textId="0C500C45" w:rsidR="006D6842" w:rsidRDefault="006D684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F372D4" wp14:editId="5AEB24E0">
          <wp:simplePos x="0" y="0"/>
          <wp:positionH relativeFrom="column">
            <wp:posOffset>-572494</wp:posOffset>
          </wp:positionH>
          <wp:positionV relativeFrom="paragraph">
            <wp:posOffset>-409658</wp:posOffset>
          </wp:positionV>
          <wp:extent cx="1956021" cy="884962"/>
          <wp:effectExtent l="0" t="0" r="0" b="4445"/>
          <wp:wrapNone/>
          <wp:docPr id="4" name="Picture 3" descr="A close-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close-up of a logo&#10;&#10;Description automatically generated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6021" cy="884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F76"/>
    <w:rsid w:val="00005F66"/>
    <w:rsid w:val="00014BDF"/>
    <w:rsid w:val="00065816"/>
    <w:rsid w:val="0006649B"/>
    <w:rsid w:val="00096923"/>
    <w:rsid w:val="000C0429"/>
    <w:rsid w:val="000E4685"/>
    <w:rsid w:val="000F04F4"/>
    <w:rsid w:val="00100DD6"/>
    <w:rsid w:val="00107F69"/>
    <w:rsid w:val="0013723D"/>
    <w:rsid w:val="00143906"/>
    <w:rsid w:val="00145A5D"/>
    <w:rsid w:val="00154783"/>
    <w:rsid w:val="00164C45"/>
    <w:rsid w:val="001827B6"/>
    <w:rsid w:val="0028517B"/>
    <w:rsid w:val="002A4BC5"/>
    <w:rsid w:val="002E119B"/>
    <w:rsid w:val="003315F0"/>
    <w:rsid w:val="00333761"/>
    <w:rsid w:val="00336402"/>
    <w:rsid w:val="00336F8E"/>
    <w:rsid w:val="00345AAF"/>
    <w:rsid w:val="00345F3C"/>
    <w:rsid w:val="0035226A"/>
    <w:rsid w:val="00371312"/>
    <w:rsid w:val="003C2363"/>
    <w:rsid w:val="0041670B"/>
    <w:rsid w:val="00432889"/>
    <w:rsid w:val="00477C9F"/>
    <w:rsid w:val="0048054B"/>
    <w:rsid w:val="004A3871"/>
    <w:rsid w:val="004B73CF"/>
    <w:rsid w:val="004C1563"/>
    <w:rsid w:val="004D7170"/>
    <w:rsid w:val="004F0B3E"/>
    <w:rsid w:val="00544E45"/>
    <w:rsid w:val="0055740B"/>
    <w:rsid w:val="005C54D7"/>
    <w:rsid w:val="005E1A9D"/>
    <w:rsid w:val="005E35A1"/>
    <w:rsid w:val="00613CDE"/>
    <w:rsid w:val="00655F2A"/>
    <w:rsid w:val="00657E1F"/>
    <w:rsid w:val="006667D6"/>
    <w:rsid w:val="006B4BC1"/>
    <w:rsid w:val="006D19BA"/>
    <w:rsid w:val="006D6842"/>
    <w:rsid w:val="006E3D11"/>
    <w:rsid w:val="006F6897"/>
    <w:rsid w:val="007158DD"/>
    <w:rsid w:val="00743E4A"/>
    <w:rsid w:val="007468D4"/>
    <w:rsid w:val="007765E8"/>
    <w:rsid w:val="00787987"/>
    <w:rsid w:val="00796BC4"/>
    <w:rsid w:val="007C36F1"/>
    <w:rsid w:val="007C3FD1"/>
    <w:rsid w:val="007F4D4C"/>
    <w:rsid w:val="00802DA8"/>
    <w:rsid w:val="00831895"/>
    <w:rsid w:val="008661AF"/>
    <w:rsid w:val="00894323"/>
    <w:rsid w:val="008963EA"/>
    <w:rsid w:val="008A0225"/>
    <w:rsid w:val="008F619A"/>
    <w:rsid w:val="00900B90"/>
    <w:rsid w:val="009049FA"/>
    <w:rsid w:val="009130F3"/>
    <w:rsid w:val="00925493"/>
    <w:rsid w:val="0093061D"/>
    <w:rsid w:val="00950F56"/>
    <w:rsid w:val="009942BD"/>
    <w:rsid w:val="009C6DEE"/>
    <w:rsid w:val="00A01460"/>
    <w:rsid w:val="00A270BA"/>
    <w:rsid w:val="00A27F28"/>
    <w:rsid w:val="00A45EC6"/>
    <w:rsid w:val="00A50EA9"/>
    <w:rsid w:val="00A52182"/>
    <w:rsid w:val="00A650FA"/>
    <w:rsid w:val="00A8050F"/>
    <w:rsid w:val="00AA4E3E"/>
    <w:rsid w:val="00AD3201"/>
    <w:rsid w:val="00B25FC1"/>
    <w:rsid w:val="00B32DF4"/>
    <w:rsid w:val="00B370D9"/>
    <w:rsid w:val="00B40964"/>
    <w:rsid w:val="00B64EAF"/>
    <w:rsid w:val="00B7183B"/>
    <w:rsid w:val="00B77C3D"/>
    <w:rsid w:val="00C4617C"/>
    <w:rsid w:val="00C47A2B"/>
    <w:rsid w:val="00C74503"/>
    <w:rsid w:val="00C95537"/>
    <w:rsid w:val="00CC6CBC"/>
    <w:rsid w:val="00CF5213"/>
    <w:rsid w:val="00D03539"/>
    <w:rsid w:val="00D52B71"/>
    <w:rsid w:val="00D640FC"/>
    <w:rsid w:val="00D90125"/>
    <w:rsid w:val="00DB6537"/>
    <w:rsid w:val="00DC05B8"/>
    <w:rsid w:val="00DD1922"/>
    <w:rsid w:val="00E019D0"/>
    <w:rsid w:val="00E01D3D"/>
    <w:rsid w:val="00E15655"/>
    <w:rsid w:val="00E26F76"/>
    <w:rsid w:val="00E36CB6"/>
    <w:rsid w:val="00E51D45"/>
    <w:rsid w:val="00E86D4A"/>
    <w:rsid w:val="00EA395A"/>
    <w:rsid w:val="00EA73E0"/>
    <w:rsid w:val="00EB184B"/>
    <w:rsid w:val="00EC0C19"/>
    <w:rsid w:val="00EF2DEE"/>
    <w:rsid w:val="00EF4022"/>
    <w:rsid w:val="00F14632"/>
    <w:rsid w:val="00F30A0C"/>
    <w:rsid w:val="00F34478"/>
    <w:rsid w:val="00F86E31"/>
    <w:rsid w:val="00FA1DDE"/>
    <w:rsid w:val="00FB6BBF"/>
    <w:rsid w:val="00FB7883"/>
    <w:rsid w:val="00FB79E3"/>
    <w:rsid w:val="00FE71ED"/>
    <w:rsid w:val="00FE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A7C2"/>
  <w15:chartTrackingRefBased/>
  <w15:docId w15:val="{A9E16701-6E2E-4042-9CBB-5A81B6F2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3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1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E35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5E35A1"/>
  </w:style>
  <w:style w:type="character" w:styleId="Hyperlink">
    <w:name w:val="Hyperlink"/>
    <w:basedOn w:val="DefaultParagraphFont"/>
    <w:uiPriority w:val="99"/>
    <w:semiHidden/>
    <w:unhideWhenUsed/>
    <w:rsid w:val="005E35A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E35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9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2BD"/>
  </w:style>
  <w:style w:type="paragraph" w:styleId="Footer">
    <w:name w:val="footer"/>
    <w:basedOn w:val="Normal"/>
    <w:link w:val="FooterChar"/>
    <w:uiPriority w:val="99"/>
    <w:unhideWhenUsed/>
    <w:rsid w:val="00994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2BD"/>
  </w:style>
  <w:style w:type="character" w:styleId="FollowedHyperlink">
    <w:name w:val="FollowedHyperlink"/>
    <w:basedOn w:val="DefaultParagraphFont"/>
    <w:uiPriority w:val="99"/>
    <w:semiHidden/>
    <w:unhideWhenUsed/>
    <w:rsid w:val="00A650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09DE5C-C7A8-B347-A422-64516C83E9ED}">
  <we:reference id="wa200001011" version="1.2.0.0" store="en-001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66F79D3589604CAED7393084AF4F6C" ma:contentTypeVersion="17" ma:contentTypeDescription="Create a new document." ma:contentTypeScope="" ma:versionID="69dc4fa9d485d03c88a9adfe091b4594">
  <xsd:schema xmlns:xsd="http://www.w3.org/2001/XMLSchema" xmlns:xs="http://www.w3.org/2001/XMLSchema" xmlns:p="http://schemas.microsoft.com/office/2006/metadata/properties" xmlns:ns3="55942cad-d71f-4a81-9a65-ee3852e05ac1" xmlns:ns4="aa2fafed-f90e-4033-94cc-1d579156af6d" targetNamespace="http://schemas.microsoft.com/office/2006/metadata/properties" ma:root="true" ma:fieldsID="b405fc1af6f109ae6a6850e822bd7429" ns3:_="" ns4:_="">
    <xsd:import namespace="55942cad-d71f-4a81-9a65-ee3852e05ac1"/>
    <xsd:import namespace="aa2fafed-f90e-4033-94cc-1d579156af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42cad-d71f-4a81-9a65-ee3852e05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fafed-f90e-4033-94cc-1d579156af6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942cad-d71f-4a81-9a65-ee3852e05ac1" xsi:nil="true"/>
  </documentManagement>
</p:properties>
</file>

<file path=customXml/itemProps1.xml><?xml version="1.0" encoding="utf-8"?>
<ds:datastoreItem xmlns:ds="http://schemas.openxmlformats.org/officeDocument/2006/customXml" ds:itemID="{E37AEE2D-5B30-4A44-A270-59AEB1735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942cad-d71f-4a81-9a65-ee3852e05ac1"/>
    <ds:schemaRef ds:uri="aa2fafed-f90e-4033-94cc-1d579156af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B30DE8-D83A-4D6A-B895-A40700ED2A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863DA6-254F-42B7-8706-854230FDB421}">
  <ds:schemaRefs>
    <ds:schemaRef ds:uri="http://schemas.microsoft.com/office/2006/metadata/properties"/>
    <ds:schemaRef ds:uri="http://schemas.microsoft.com/office/infopath/2007/PartnerControls"/>
    <ds:schemaRef ds:uri="55942cad-d71f-4a81-9a65-ee3852e05a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266</Words>
  <Characters>1587</Characters>
  <Application>Microsoft Office Word</Application>
  <DocSecurity>0</DocSecurity>
  <Lines>31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Morgan Kay</dc:creator>
  <cp:keywords/>
  <dc:description/>
  <cp:lastModifiedBy>Pentrak, Martin</cp:lastModifiedBy>
  <cp:revision>25</cp:revision>
  <dcterms:created xsi:type="dcterms:W3CDTF">2025-10-02T19:03:00Z</dcterms:created>
  <dcterms:modified xsi:type="dcterms:W3CDTF">2025-10-02T19:26:00Z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documentId_872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ContentTypeId">
    <vt:lpwstr>0x010100A066F79D3589604CAED7393084AF4F6C</vt:lpwstr>
  </property>
</Properties>
</file>