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>Sistema de calculo de impuesto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el alta, la baja y modificación de clientes residenciales con su nombre, apellido, domicilio (calle, altura, piso, depto., código postal, localidad, provincia).  Y de clientes industriales su razón social, CUIT, domicilio (calle, altura, piso, depto., código postal, localidad, provincia), número de Ingresos Brutos y Condición Fiscal).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la administración de los valores de las tarifas e impuestos existentes</w:t>
      </w:r>
      <w:r w:rsidR="001A4A34">
        <w:t xml:space="preserve"> (concepto)</w:t>
      </w:r>
      <w:r>
        <w:t>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realizar el cálculo bimestral de la facturación por cliente. En el caso de los residenciales debe calcular la tarifa básica, agregarle el IVA, las contribuciones municipales y evaluar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5C4EDF" w:rsidP="005C4EDF">
      <w:pPr>
        <w:ind w:left="-993" w:hanging="141"/>
      </w:pPr>
      <w:r>
        <w:rPr>
          <w:noProof/>
          <w:lang w:eastAsia="es-AR"/>
        </w:rPr>
        <w:drawing>
          <wp:inline distT="0" distB="0" distL="0" distR="0">
            <wp:extent cx="6712618" cy="4905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97" cy="490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EF04D4" w:rsidRDefault="00EF04D4" w:rsidP="00EF04D4"/>
    <w:p w:rsidR="00EF04D4" w:rsidRDefault="00EF04D4" w:rsidP="00EF04D4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TPO10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3580"/>
      </w:tblGrid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2"/>
          </w:tcPr>
          <w:p w:rsidR="00EF04D4" w:rsidRPr="00DB10EB" w:rsidRDefault="00480A16" w:rsidP="002D194B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445485">
              <w:t>cada</w:t>
            </w:r>
            <w:r w:rsidR="00195D97">
              <w:t xml:space="preserve"> detalle.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2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la nueva factura al cliente.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  <w:r w:rsidR="001D531D">
              <w:rPr>
                <w:rFonts w:ascii="Arial" w:hAnsi="Arial" w:cs="Arial"/>
              </w:rPr>
              <w:t>. Y a su vez, asocia el cliente a la factura.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59597F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del tipo residencial, aplica el valor del metro cúbico de clientes residenciales.</w:t>
            </w:r>
            <w:r w:rsidR="001D531D">
              <w:rPr>
                <w:rFonts w:ascii="Arial" w:hAnsi="Arial" w:cs="Arial"/>
              </w:rPr>
              <w:t xml:space="preserve"> Lo multiplica por la cantidad de metros cúbicos consumidos. </w:t>
            </w:r>
          </w:p>
        </w:tc>
      </w:tr>
      <w:tr w:rsidR="00EF04D4" w:rsidRPr="00D73BFC" w:rsidTr="007E481C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595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59597F">
              <w:rPr>
                <w:rFonts w:ascii="Arial" w:hAnsi="Arial" w:cs="Arial"/>
              </w:rPr>
              <w:t>Aplica el Impuesto al Valor agregado</w:t>
            </w:r>
            <w:r w:rsidR="001D531D">
              <w:rPr>
                <w:rFonts w:ascii="Arial" w:hAnsi="Arial" w:cs="Arial"/>
              </w:rPr>
              <w:t xml:space="preserve"> de Consumidor Final</w:t>
            </w:r>
          </w:p>
        </w:tc>
      </w:tr>
      <w:tr w:rsidR="0059597F" w:rsidRPr="00D73BFC" w:rsidTr="007E481C">
        <w:trPr>
          <w:trHeight w:val="65"/>
        </w:trPr>
        <w:tc>
          <w:tcPr>
            <w:tcW w:w="2628" w:type="dxa"/>
            <w:vMerge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Contribuciones Municipales.</w:t>
            </w:r>
          </w:p>
        </w:tc>
      </w:tr>
      <w:tr w:rsidR="001D531D" w:rsidRPr="00D73BFC" w:rsidTr="007E481C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 Si el total es menor a $150 aplica un subsidio de 5%. Acumula el importe del subsidio al para notificarlo al sistema contable.</w:t>
            </w:r>
          </w:p>
        </w:tc>
      </w:tr>
      <w:tr w:rsidR="001D531D" w:rsidRPr="00D73BFC" w:rsidTr="007E481C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 Asocia cada concepto liquidado a la factura.</w:t>
            </w:r>
          </w:p>
        </w:tc>
      </w:tr>
      <w:tr w:rsidR="001D531D" w:rsidRPr="00D73BFC" w:rsidTr="007E481C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 Calcula el total de la factura</w:t>
            </w:r>
          </w:p>
        </w:tc>
      </w:tr>
      <w:tr w:rsidR="00EF04D4" w:rsidRPr="00D73BFC" w:rsidTr="007E481C">
        <w:trPr>
          <w:trHeight w:val="6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EF04D4" w:rsidRPr="00D73BFC" w:rsidTr="007E481C">
        <w:trPr>
          <w:trHeight w:val="2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59597F" w:rsidRPr="00D73BFC" w:rsidTr="007E481C">
        <w:tc>
          <w:tcPr>
            <w:tcW w:w="2628" w:type="dxa"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 del tipo industrial</w:t>
            </w:r>
          </w:p>
        </w:tc>
        <w:tc>
          <w:tcPr>
            <w:tcW w:w="3114" w:type="dxa"/>
          </w:tcPr>
          <w:p w:rsidR="0059597F" w:rsidRPr="00D73BFC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</w:tcPr>
          <w:p w:rsidR="0059597F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industrial, aplica el valor del metro cubico industrial y lo multiplica por los metros cúbicos consumidos</w:t>
            </w:r>
          </w:p>
        </w:tc>
      </w:tr>
      <w:tr w:rsidR="001D531D" w:rsidRPr="00D73BFC" w:rsidTr="007E481C">
        <w:tc>
          <w:tcPr>
            <w:tcW w:w="2628" w:type="dxa"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1D531D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</w:tcPr>
          <w:p w:rsidR="001D531D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Aplica el impuesto al valor agregado “Responsable Inscripto”</w:t>
            </w:r>
          </w:p>
        </w:tc>
      </w:tr>
      <w:tr w:rsidR="001D531D" w:rsidRPr="00D73BFC" w:rsidTr="007E481C">
        <w:tc>
          <w:tcPr>
            <w:tcW w:w="2628" w:type="dxa"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1D531D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</w:tcPr>
          <w:p w:rsidR="001D531D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Ingresos Brutos.</w:t>
            </w:r>
          </w:p>
        </w:tc>
      </w:tr>
      <w:tr w:rsidR="001D531D" w:rsidRPr="00D73BFC" w:rsidTr="007E481C">
        <w:tc>
          <w:tcPr>
            <w:tcW w:w="2628" w:type="dxa"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1D531D" w:rsidRPr="00D73BFC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</w:tcPr>
          <w:p w:rsidR="001D531D" w:rsidRPr="00D73BFC" w:rsidRDefault="001D531D" w:rsidP="00CD2F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Si la cantidad de metros cúbicos consumidos superan los 700m3 </w:t>
            </w:r>
            <w:r w:rsidR="00CD2F93">
              <w:rPr>
                <w:rFonts w:ascii="Arial" w:hAnsi="Arial" w:cs="Arial"/>
              </w:rPr>
              <w:t>se aplica el costo por transporte, 3% sobre el total.</w:t>
            </w:r>
          </w:p>
        </w:tc>
      </w:tr>
      <w:tr w:rsidR="0059597F" w:rsidRPr="00D73BFC" w:rsidTr="007E481C">
        <w:tc>
          <w:tcPr>
            <w:tcW w:w="2628" w:type="dxa"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59597F" w:rsidRPr="00D73BFC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</w:tcPr>
          <w:p w:rsidR="0059597F" w:rsidRPr="00D73BFC" w:rsidRDefault="00CD2F93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Vuelve al flujo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principal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EF04D4" w:rsidRPr="00EF04D4" w:rsidRDefault="00EF04D4" w:rsidP="00EF04D4"/>
    <w:sectPr w:rsidR="00EF04D4" w:rsidRPr="00EF0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182" w:rsidRDefault="00736182" w:rsidP="006903B8">
      <w:pPr>
        <w:spacing w:after="0" w:line="240" w:lineRule="auto"/>
      </w:pPr>
      <w:r>
        <w:separator/>
      </w:r>
    </w:p>
  </w:endnote>
  <w:endnote w:type="continuationSeparator" w:id="0">
    <w:p w:rsidR="00736182" w:rsidRDefault="00736182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182" w:rsidRDefault="00736182" w:rsidP="006903B8">
      <w:pPr>
        <w:spacing w:after="0" w:line="240" w:lineRule="auto"/>
      </w:pPr>
      <w:r>
        <w:separator/>
      </w:r>
    </w:p>
  </w:footnote>
  <w:footnote w:type="continuationSeparator" w:id="0">
    <w:p w:rsidR="00736182" w:rsidRDefault="00736182" w:rsidP="006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B"/>
    <w:rsid w:val="00017165"/>
    <w:rsid w:val="001675AE"/>
    <w:rsid w:val="00195D97"/>
    <w:rsid w:val="001A4A34"/>
    <w:rsid w:val="001D531D"/>
    <w:rsid w:val="002D194B"/>
    <w:rsid w:val="002D746F"/>
    <w:rsid w:val="002E0BCC"/>
    <w:rsid w:val="002E7762"/>
    <w:rsid w:val="00363744"/>
    <w:rsid w:val="004449D5"/>
    <w:rsid w:val="00445485"/>
    <w:rsid w:val="0046700F"/>
    <w:rsid w:val="00480A16"/>
    <w:rsid w:val="00505EB6"/>
    <w:rsid w:val="00527E40"/>
    <w:rsid w:val="0059597F"/>
    <w:rsid w:val="005C4EDF"/>
    <w:rsid w:val="0060550E"/>
    <w:rsid w:val="00676CB2"/>
    <w:rsid w:val="006903B8"/>
    <w:rsid w:val="006E3512"/>
    <w:rsid w:val="00736182"/>
    <w:rsid w:val="007A34C0"/>
    <w:rsid w:val="007E71FD"/>
    <w:rsid w:val="009B41D3"/>
    <w:rsid w:val="009C7B2F"/>
    <w:rsid w:val="00A308B5"/>
    <w:rsid w:val="00A7197C"/>
    <w:rsid w:val="00BD00E6"/>
    <w:rsid w:val="00C15BA8"/>
    <w:rsid w:val="00C25CE2"/>
    <w:rsid w:val="00CD2F93"/>
    <w:rsid w:val="00D140DC"/>
    <w:rsid w:val="00DB3FC4"/>
    <w:rsid w:val="00EC04BA"/>
    <w:rsid w:val="00EC352B"/>
    <w:rsid w:val="00EF04D4"/>
    <w:rsid w:val="00F41324"/>
    <w:rsid w:val="00F43DF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C6663-503D-420E-B76D-BD351C34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Ezequiel Molinero</cp:lastModifiedBy>
  <cp:revision>22</cp:revision>
  <dcterms:created xsi:type="dcterms:W3CDTF">2012-04-08T01:43:00Z</dcterms:created>
  <dcterms:modified xsi:type="dcterms:W3CDTF">2012-05-30T02:41:00Z</dcterms:modified>
</cp:coreProperties>
</file>