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Система: Транспортная система города</w:t>
      </w:r>
    </w:p>
    <w:p w14:paraId="00000002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1) Цель, функции, причина существования.</w:t>
      </w:r>
    </w:p>
    <w:p w14:paraId="00000003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Причина: Преодоление больших или маленьких расстояний между городами, областями, зонами. Для того, чтобы в городе или частном секторе было комфортно жить, людям необходимо быстро, безопасно добираться в любую востребованную точку.</w:t>
      </w:r>
    </w:p>
    <w:p w14:paraId="00000004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Цель: Обеспечить доступную, безопасную, комфортную, своевременную перевозку пассажиров и грузов.</w:t>
      </w:r>
    </w:p>
    <w:p w14:paraId="00000005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Функции:</w:t>
      </w:r>
    </w:p>
    <w:p w14:paraId="00000006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1.1 Транспортировка - перемещение людей и товаров</w:t>
      </w:r>
    </w:p>
    <w:p w14:paraId="00000007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1.2 Связующая - объединение жилых районов, деловых центров, больниц и поликлиник, служб спасения, зоны для проведения активного отдыха в единое пространство</w:t>
      </w:r>
    </w:p>
    <w:p w14:paraId="00000008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1.3 Управление потоками - распределение нагрузки на дороги в часы пик, чтобы город не вставал в пробку, а также не создавать аварийные опасные ситуации на дорогах из-за габаритов разных моделей транспорта</w:t>
      </w:r>
    </w:p>
    <w:p w14:paraId="00000009">
      <w:pPr>
        <w:spacing w:after="0" w:line="240"/>
        <w:rPr>
          <w:sz w:val="18"/>
          <w:szCs w:val="18"/>
          <w:lang w:val="ru-RU"/>
        </w:rPr>
      </w:pPr>
    </w:p>
    <w:p w14:paraId="0000000A">
      <w:pPr>
        <w:spacing w:after="0" w:line="240"/>
        <w:rPr>
          <w:sz w:val="18"/>
          <w:szCs w:val="18"/>
        </w:rPr>
      </w:pPr>
      <w:r>
        <w:rPr>
          <w:sz w:val="18"/>
          <w:szCs w:val="18"/>
          <w:lang w:val="ru-RU"/>
        </w:rPr>
        <w:t>2) Основные элементы системы</w:t>
      </w:r>
    </w:p>
    <w:p w14:paraId="0000000B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2.1 Инфраструктура (пути сообщения): Дороги, трамвайные рельсы, велодорожки, выделенные полосы, мосты, пешеходные переходы, тоннели</w:t>
      </w:r>
    </w:p>
    <w:p w14:paraId="0000000C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2.2 Подвижной состав (транспортные средства): Автобусы, троллейбусы, трамваи, электробусы, личные автомобили, метро</w:t>
      </w:r>
    </w:p>
    <w:p w14:paraId="0000000D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2.3 Узлы системы (точки посадки/высадки): Остановки, станции метро, вокзалы</w:t>
      </w:r>
    </w:p>
    <w:p w14:paraId="0000000E">
      <w:pPr>
        <w:spacing w:after="0" w:line="24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2.4 Управление и люди: Пассажиры, водители. Системы для контроля над ситуацией на дорогах - светофоры, видеонаблюдение, камеры мгновенной съемки, световые сигналы. Правила дорожного движения, расписание общественного транспорта. </w:t>
      </w:r>
    </w:p>
    <w:p w14:paraId="0000000F">
      <w:pPr>
        <w:spacing w:after="0" w:line="240"/>
        <w:rPr>
          <w:sz w:val="18"/>
          <w:szCs w:val="18"/>
        </w:rPr>
      </w:pPr>
    </w:p>
    <w:p w14:paraId="00000010">
      <w:pPr>
        <w:spacing w:after="0" w:line="240"/>
        <w:rPr>
          <w:lang w:val="ru-RU"/>
        </w:rPr>
      </w:pPr>
      <w:r>
        <w:rPr>
          <w:sz w:val="18"/>
          <w:szCs w:val="18"/>
          <w:lang w:val="ru-RU"/>
        </w:rPr>
        <w:t>3) Взаимодействие между элементами</w:t>
      </w:r>
    </w:p>
    <w:p w14:paraId="00000011">
      <w:pPr>
        <w:spacing w:after="0" w:line="240"/>
        <w:rPr>
          <w:lang w:val="ru-RU"/>
        </w:rPr>
      </w:pPr>
      <w:r>
        <w:rPr>
          <w:lang w:val="ru-RU"/>
        </w:rPr>
        <w:drawing xmlns:mc="http://schemas.openxmlformats.org/markup-compatibility/2006">
          <wp:inline>
            <wp:extent cx="3481070" cy="3062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pacing w:after="0" w:line="240"/>
        <w:rPr>
          <w:lang w:val="ru-RU"/>
        </w:rPr>
      </w:pPr>
      <w:r>
        <w:rPr>
          <w:lang w:val="ru-RU"/>
        </w:rPr>
        <w:t xml:space="preserve">4) </w:t>
      </w:r>
      <w:r>
        <w:rPr>
          <w:lang w:val="ru-RU"/>
        </w:rPr>
        <w:t>Свойства элементов по отдельности:</w:t>
      </w:r>
    </w:p>
    <w:p w14:paraId="00000013">
      <w:pPr>
        <w:spacing w:after="0" w:line="240"/>
        <w:rPr>
          <w:lang w:val="ru-RU"/>
        </w:rPr>
      </w:pPr>
      <w:r>
        <w:rPr>
          <w:lang w:val="ru-RU"/>
        </w:rPr>
        <w:t>4.1 Инфраструктура: Пропускная способность дорог</w:t>
      </w:r>
    </w:p>
    <w:p w14:paraId="00000014">
      <w:pPr>
        <w:spacing w:after="0" w:line="240"/>
        <w:rPr>
          <w:lang w:val="ru-RU"/>
        </w:rPr>
      </w:pPr>
      <w:r>
        <w:rPr>
          <w:lang w:val="ru-RU"/>
        </w:rPr>
        <w:t>4.2 Подвижной состав: Вместимость, мобильность</w:t>
      </w:r>
    </w:p>
    <w:p w14:paraId="00000015">
      <w:pPr>
        <w:spacing w:after="0" w:line="240"/>
        <w:rPr>
          <w:lang w:val="ru-RU"/>
        </w:rPr>
      </w:pPr>
      <w:r>
        <w:rPr>
          <w:lang w:val="ru-RU"/>
        </w:rPr>
        <w:t>4.3 Узлы система: Доступность, пропускная способность пассажиров</w:t>
      </w:r>
    </w:p>
    <w:p w14:paraId="00000016">
      <w:pPr>
        <w:spacing w:after="0" w:line="240"/>
        <w:rPr>
          <w:lang w:val="ru-RU"/>
        </w:rPr>
      </w:pPr>
      <w:r>
        <w:rPr>
          <w:lang w:val="ru-RU"/>
        </w:rPr>
        <w:t>4.4 Управление и люда: Гибкость</w:t>
      </w:r>
    </w:p>
    <w:p w14:paraId="00000017">
      <w:pPr>
        <w:spacing w:after="0" w:line="240"/>
        <w:rPr>
          <w:lang w:val="ru-RU"/>
        </w:rPr>
      </w:pPr>
    </w:p>
    <w:p w14:paraId="00000018">
      <w:pPr>
        <w:spacing w:after="0" w:line="240"/>
        <w:rPr>
          <w:lang w:val="ru-RU"/>
        </w:rPr>
      </w:pPr>
      <w:r>
        <w:rPr>
          <w:lang w:val="ru-RU"/>
        </w:rPr>
        <w:t>5) Основные свойства системы в целом</w:t>
      </w:r>
    </w:p>
    <w:p w14:paraId="00000019">
      <w:pPr>
        <w:spacing w:after="0" w:line="240"/>
        <w:rPr>
          <w:lang w:val="ru-RU"/>
        </w:rPr>
      </w:pPr>
      <w:r>
        <w:rPr>
          <w:lang w:val="ru-RU"/>
        </w:rPr>
        <w:t>5.1 Целостность: сбой в одном элементе ломает всю систему элементов.</w:t>
      </w:r>
    </w:p>
    <w:p w14:paraId="0000001A">
      <w:pPr>
        <w:spacing w:after="0" w:line="240"/>
        <w:rPr>
          <w:lang w:val="ru-RU"/>
        </w:rPr>
      </w:pPr>
      <w:r>
        <w:rPr>
          <w:lang w:val="ru-RU"/>
        </w:rPr>
        <w:t>5.2 Иерархичность: иерархия транспортных средств.</w:t>
      </w:r>
    </w:p>
    <w:p w14:paraId="0000001B">
      <w:pPr>
        <w:spacing w:after="0" w:line="240"/>
        <w:rPr/>
      </w:pPr>
      <w:r>
        <w:rPr>
          <w:lang w:val="ru-RU"/>
        </w:rPr>
        <w:t xml:space="preserve">5.3 Адаптивность и устойчивость под изменения в окружающей среде и подстраивание под любые риски 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