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left"/>
      </w:pPr>
      <w:r>
        <w:rPr>
          <w:rFonts w:ascii="Arial" w:cs="Arial" w:eastAsia="Arial" w:hAnsi="Arial"/>
          <w:b w:val="false"/>
          <w:bCs w:val="false"/>
          <w:i w:val="false"/>
          <w:iCs w:val="false"/>
          <w:color w:val="000000"/>
          <w:sz w:val="20"/>
          <w:szCs w:val="20"/>
        </w:rPr>
        <w:t xml:space="preserve"/>
      </w:r>
    </w:p>
    <w:p>
      <w:pPr>
        <w:spacing w:after="0" w:before="0"/>
        <w:jc w:val="left"/>
      </w:pPr>
      <w:r>
        <w:rPr>
          <w:rFonts w:ascii="Arial" w:cs="Arial" w:eastAsia="Arial" w:hAnsi="Arial"/>
          <w:b w:val="false"/>
          <w:bCs w:val="false"/>
          <w:i w:val="false"/>
          <w:iCs w:val="false"/>
          <w:color w:val="000000"/>
          <w:sz w:val="20"/>
          <w:szCs w:val="20"/>
        </w:rPr>
        <w:t xml:space="preserve"/>
      </w:r>
    </w:p>
    <w:p>
      <w:pPr>
        <w:spacing w:after="0" w:before="0"/>
        <w:jc w:val="left"/>
      </w:pPr>
      <w:r>
        <w:rPr>
          <w:rFonts w:ascii="Arial" w:cs="Arial" w:eastAsia="Arial" w:hAnsi="Arial"/>
          <w:b w:val="false"/>
          <w:bCs w:val="false"/>
          <w:i w:val="false"/>
          <w:iCs w:val="false"/>
          <w:color w:val="000000"/>
          <w:sz w:val="20"/>
          <w:szCs w:val="20"/>
        </w:rPr>
        <w:t xml:space="preserve"/>
      </w:r>
    </w:p>
    <w:p>
      <w:pPr>
        <w:spacing w:after="0" w:before="0"/>
        <w:jc w:val="left"/>
      </w:pPr>
      <w:r>
        <w:rPr>
          <w:rFonts w:ascii="Arial" w:cs="Arial" w:eastAsia="Arial" w:hAnsi="Arial"/>
          <w:b w:val="false"/>
          <w:bCs w:val="false"/>
          <w:i w:val="false"/>
          <w:iCs w:val="false"/>
          <w:color w:val="000000"/>
          <w:sz w:val="20"/>
          <w:szCs w:val="20"/>
        </w:rPr>
        <w:t xml:space="preserve"/>
      </w:r>
    </w:p>
    <w:p>
      <w:pPr>
        <w:spacing w:after="10" w:before="0"/>
        <w:jc w:val="center"/>
      </w:pPr>
      <w:r>
        <w:rPr>
          <w:rFonts w:ascii="Arial" w:cs="Arial" w:eastAsia="Arial" w:hAnsi="Arial"/>
          <w:b/>
          <w:bCs/>
          <w:i w:val="false"/>
          <w:iCs w:val="false"/>
          <w:color w:val="1F3864"/>
          <w:sz w:val="72"/>
          <w:szCs w:val="72"/>
        </w:rPr>
        <w:t xml:space="preserve">INDUTECH</w:t>
      </w:r>
      <w:r>
        <w:rPr>
          <w:rFonts w:ascii="Arial" w:cs="Arial" w:eastAsia="Arial" w:hAnsi="Arial"/>
          <w:b/>
          <w:bCs/>
          <w:i w:val="false"/>
          <w:iCs w:val="false"/>
          <w:color w:val="2E5DA6"/>
          <w:sz w:val="72"/>
          <w:szCs w:val="72"/>
        </w:rPr>
        <w:t xml:space="preserve">DATA</w:t>
      </w:r>
    </w:p>
    <w:p>
      <w:pPr>
        <w:spacing w:after="500" w:before="0"/>
        <w:jc w:val="center"/>
      </w:pPr>
      <w:r>
        <w:rPr>
          <w:rFonts w:ascii="Arial" w:cs="Arial" w:eastAsia="Arial" w:hAnsi="Arial"/>
          <w:b w:val="false"/>
          <w:bCs w:val="false"/>
          <w:i/>
          <w:iCs/>
          <w:color w:val="888888"/>
          <w:sz w:val="20"/>
          <w:szCs w:val="20"/>
        </w:rPr>
        <w:t xml:space="preserve">Analyse de données pour l'industrie</w:t>
      </w:r>
    </w:p>
    <w:p>
      <w:pPr>
        <w:pBdr>
          <w:top w:val="none" w:color="FFFFFF" w:sz="0"/>
          <w:bottom w:val="single" w:color="1F3864" w:sz="10" w:space="2"/>
          <w:left w:val="none" w:color="FFFFFF" w:sz="0"/>
          <w:right w:val="none" w:color="FFFFFF" w:sz="0"/>
        </w:pBdr>
        <w:spacing w:after="0" w:before="0"/>
        <w:jc w:val="center"/>
      </w:pPr>
    </w:p>
    <w:p>
      <w:pPr>
        <w:spacing w:after="80" w:before="220"/>
        <w:jc w:val="center"/>
      </w:pPr>
      <w:r>
        <w:rPr>
          <w:rFonts w:ascii="Arial" w:cs="Arial" w:eastAsia="Arial" w:hAnsi="Arial"/>
          <w:b/>
          <w:bCs/>
          <w:i w:val="false"/>
          <w:iCs w:val="false"/>
          <w:color w:val="1F3864"/>
          <w:sz w:val="52"/>
          <w:szCs w:val="52"/>
        </w:rPr>
        <w:t xml:space="preserve">Architecture Hybride Cloud</w:t>
      </w:r>
    </w:p>
    <w:p>
      <w:pPr>
        <w:spacing w:after="80" w:before="0"/>
        <w:jc w:val="center"/>
      </w:pPr>
      <w:r>
        <w:rPr>
          <w:rFonts w:ascii="Arial" w:cs="Arial" w:eastAsia="Arial" w:hAnsi="Arial"/>
          <w:b/>
          <w:bCs/>
          <w:i w:val="false"/>
          <w:iCs w:val="false"/>
          <w:color w:val="2E5DA6"/>
          <w:sz w:val="32"/>
          <w:szCs w:val="32"/>
        </w:rPr>
        <w:t xml:space="preserve">Évaluation de compatibilité avec le SI on-premise</w:t>
      </w:r>
    </w:p>
    <w:p>
      <w:pPr>
        <w:spacing w:after="600" w:before="0"/>
        <w:jc w:val="center"/>
      </w:pPr>
      <w:r>
        <w:rPr>
          <w:rFonts w:ascii="Arial" w:cs="Arial" w:eastAsia="Arial" w:hAnsi="Arial"/>
          <w:b w:val="false"/>
          <w:bCs w:val="false"/>
          <w:i/>
          <w:iCs/>
          <w:color w:val="888888"/>
          <w:sz w:val="22"/>
          <w:szCs w:val="22"/>
        </w:rPr>
        <w:t xml:space="preserve">Rapport d'évaluation — Exercice 1, Étape 3</w:t>
      </w:r>
    </w:p>
    <w:p>
      <w:pPr>
        <w:spacing w:after="40" w:before="0"/>
        <w:jc w:val="center"/>
      </w:pPr>
      <w:r>
        <w:rPr>
          <w:rFonts w:ascii="Arial" w:cs="Arial" w:eastAsia="Arial" w:hAnsi="Arial"/>
          <w:b/>
          <w:bCs/>
          <w:i w:val="false"/>
          <w:iCs w:val="false"/>
          <w:color w:val="1F3864"/>
          <w:sz w:val="24"/>
          <w:szCs w:val="24"/>
        </w:rPr>
        <w:t xml:space="preserve">Endaye Aimé</w:t>
      </w:r>
    </w:p>
    <w:p>
      <w:pPr>
        <w:spacing w:after="30" w:before="0"/>
        <w:jc w:val="center"/>
      </w:pPr>
      <w:r>
        <w:rPr>
          <w:rFonts w:ascii="Arial" w:cs="Arial" w:eastAsia="Arial" w:hAnsi="Arial"/>
          <w:b w:val="false"/>
          <w:bCs w:val="false"/>
          <w:i w:val="false"/>
          <w:iCs w:val="false"/>
          <w:color w:val="888888"/>
          <w:sz w:val="20"/>
          <w:szCs w:val="20"/>
        </w:rPr>
        <w:t xml:space="preserve">Formation Data / AI Engineering — OpenClassrooms</w:t>
      </w:r>
    </w:p>
    <w:p>
      <w:pPr>
        <w:spacing w:after="0" w:before="0"/>
        <w:jc w:val="center"/>
      </w:pPr>
      <w:r>
        <w:rPr>
          <w:rFonts w:ascii="Arial" w:cs="Arial" w:eastAsia="Arial" w:hAnsi="Arial"/>
          <w:b w:val="false"/>
          <w:bCs w:val="false"/>
          <w:i w:val="false"/>
          <w:iCs w:val="false"/>
          <w:color w:val="888888"/>
          <w:sz w:val="20"/>
          <w:szCs w:val="20"/>
        </w:rPr>
        <w:t xml:space="preserve">Mai 2026</w:t>
      </w:r>
    </w:p>
    <w:p>
      <w:pPr>
        <w:spacing w:after="80" w:before="80"/>
        <w:jc w:val="left"/>
      </w:pPr>
      <w:r>
        <w:br w:type="page"/>
      </w:r>
    </w:p>
    <w:p>
      <w:pPr>
        <w:pStyle w:val="Heading1"/>
        <w:pBdr>
          <w:top w:val="none" w:color="FFFFFF" w:sz="0"/>
          <w:bottom w:val="single" w:color="2E5DA6" w:sz="10" w:space="2"/>
          <w:left w:val="none" w:color="FFFFFF" w:sz="0"/>
          <w:right w:val="none" w:color="FFFFFF" w:sz="0"/>
        </w:pBdr>
        <w:spacing w:after="140" w:before="340"/>
      </w:pPr>
      <w:r>
        <w:rPr>
          <w:rFonts w:ascii="Arial" w:cs="Arial" w:eastAsia="Arial" w:hAnsi="Arial"/>
          <w:b/>
          <w:bCs/>
          <w:i w:val="false"/>
          <w:iCs w:val="false"/>
          <w:color w:val="1F3864"/>
          <w:sz w:val="30"/>
          <w:szCs w:val="30"/>
        </w:rPr>
        <w:t xml:space="preserve">Introduction</w:t>
      </w:r>
    </w:p>
    <w:p>
      <w:pPr>
        <w:spacing w:after="80" w:before="80"/>
        <w:jc w:val="left"/>
      </w:pPr>
      <w:r>
        <w:rPr>
          <w:rFonts w:ascii="Arial" w:cs="Arial" w:eastAsia="Arial" w:hAnsi="Arial"/>
          <w:b w:val="false"/>
          <w:bCs w:val="false"/>
          <w:i w:val="false"/>
          <w:iCs w:val="false"/>
          <w:color w:val="000000"/>
          <w:sz w:val="22"/>
          <w:szCs w:val="22"/>
        </w:rPr>
        <w:t xml:space="preserve">Ce document présente l'évaluation de compatibilité de l'architecture hybride proposée pour InduTechData avec son système d'information (SI) on-premise existant. Il constitue le livrable de l'Étape 3 de l'Exercice 1 du projet OpenClassrooms « Modélisez une infrastructure dans le cloud ».</w:t>
      </w:r>
    </w:p>
    <w:p>
      <w:pPr>
        <w:spacing w:after="0" w:before="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2"/>
          <w:szCs w:val="22"/>
        </w:rPr>
        <w:t xml:space="preserve">InduTechData est une entreprise spécialisée dans l'analyse de données pour le secteur industriel. Avec l'introduction de solutions IoT, elle enregistre une croissance mensuelle de 50 Go de données issues de capteurs, s'ajoutant à 40 To de données critiques sur SQL Server (ERP/CRM) et 10 To de données non structurées sur baie SAN. Son infrastructure datacenter actuelle atteint ses limites de capacité, rendant la migration cloud indispensable.</w:t>
      </w:r>
    </w:p>
    <w:p>
      <w:pPr>
        <w:spacing w:after="0" w:before="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2"/>
          <w:szCs w:val="22"/>
        </w:rPr>
        <w:t xml:space="preserve">L'objectif de cette architecture hybride est de moderniser la gestion des données via les services AWS, tout en maintenant la compatibilité avec le SI on-premise — notamment la gestion des identités (Active Directory) et la sécurisation des flux. L'analyse porte sur trois axes : sécurité et conformité, interopérabilité, scalabilité et gestion des coûts.</w:t>
      </w:r>
    </w:p>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Composants cloud sélectionnés — Justification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3000"/>
        <w:gridCol w:w="2000"/>
      </w:tblGrid>
      <w:tr>
        <w:trPr>
          <w:tblHeader/>
        </w:trPr>
        <w:tc>
          <w:tcPr>
            <w:tcW w:type="dxa" w:w="19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Composant AWS</w:t>
            </w:r>
          </w:p>
        </w:tc>
        <w:tc>
          <w:tcPr>
            <w:tcW w:type="dxa" w:w="22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Rôle dans l'architecture</w:t>
            </w:r>
          </w:p>
        </w:tc>
        <w:tc>
          <w:tcPr>
            <w:tcW w:type="dxa" w:w="30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Justification du choix</w:t>
            </w:r>
          </w:p>
        </w:tc>
        <w:tc>
          <w:tcPr>
            <w:tcW w:type="dxa" w:w="20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Équivalent local (POC)</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Lambda</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Génération et envoi d'événements tickets</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Serverless, facturation à l'usage, zéro infra à gérer</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producer_tickets.py</w:t>
            </w:r>
          </w:p>
        </w:tc>
      </w:tr>
      <w:tr>
        <w:tc>
          <w:tcPr>
            <w:tcW w:type="dxa" w:w="19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MSK (Kafka)</w:t>
            </w:r>
          </w:p>
        </w:tc>
        <w:tc>
          <w:tcPr>
            <w:tcW w:type="dxa" w:w="2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Broker de streaming — ingestion des flux IoT</w:t>
            </w:r>
          </w:p>
        </w:tc>
        <w:tc>
          <w:tcPr>
            <w:tcW w:type="dxa" w:w="3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100 % compatible Kafka API, zéro recodage, managé AWS</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Redpanda (Docker)</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EMR (Spark)</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Traitement distribué — transformation, agrégation</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Cluster Spark managé, Spot Instances, intégration S3 native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PySpark (Docker)</w:t>
            </w:r>
          </w:p>
        </w:tc>
      </w:tr>
      <w:tr>
        <w:tc>
          <w:tcPr>
            <w:tcW w:type="dxa" w:w="19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S3</w:t>
            </w:r>
          </w:p>
        </w:tc>
        <w:tc>
          <w:tcPr>
            <w:tcW w:type="dxa" w:w="2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Data Lake — stockage brut et transformé</w:t>
            </w:r>
          </w:p>
        </w:tc>
        <w:tc>
          <w:tcPr>
            <w:tcW w:type="dxa" w:w="3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Scalabilité illimitée, coût faible, compatibilité Parquet/JSON</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data/output/</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Redshift</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Entrepôt analytique — requêtes SQL complexes</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Optimisé colonnes, connecteurs natifs S3/MSK, Concurrency Scaling</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w:t>
            </w:r>
          </w:p>
        </w:tc>
      </w:tr>
      <w:tr>
        <w:tc>
          <w:tcPr>
            <w:tcW w:type="dxa" w:w="19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DMS</w:t>
            </w:r>
          </w:p>
        </w:tc>
        <w:tc>
          <w:tcPr>
            <w:tcW w:type="dxa" w:w="2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Sync SQL Server on-premise → S3 / Redshift</w:t>
            </w:r>
          </w:p>
        </w:tc>
        <w:tc>
          <w:tcPr>
            <w:tcW w:type="dxa" w:w="3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CDC natif SQL Server, réplication continue, sans interruption</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w:t>
            </w:r>
          </w:p>
        </w:tc>
      </w:tr>
      <w:tr>
        <w:tc>
          <w:tcPr>
            <w:tcW w:type="dxa" w:w="19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IAM + Directory Service</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Sécurité et gestion unifiée des identités</w:t>
            </w:r>
          </w:p>
        </w:tc>
        <w:tc>
          <w:tcPr>
            <w:tcW w:type="dxa" w:w="3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Extension AD on-premise, trust relationship, SSO fédéré</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w:t>
            </w:r>
          </w:p>
        </w:tc>
      </w:tr>
      <w:tr>
        <w:tc>
          <w:tcPr>
            <w:tcW w:type="dxa" w:w="19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CloudWatch</w:t>
            </w:r>
          </w:p>
        </w:tc>
        <w:tc>
          <w:tcPr>
            <w:tcW w:type="dxa" w:w="2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Monitoring, alertes, suivi des coûts</w:t>
            </w:r>
          </w:p>
        </w:tc>
        <w:tc>
          <w:tcPr>
            <w:tcW w:type="dxa" w:w="3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Intégration native tous services AWS, alertes configurables</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Logs terminal</w:t>
            </w:r>
          </w:p>
        </w:tc>
      </w:tr>
    </w:tbl>
    <w:p>
      <w:pPr>
        <w:spacing w:after="80" w:before="80"/>
        <w:jc w:val="left"/>
      </w:pPr>
      <w:r>
        <w:br w:type="page"/>
      </w:r>
    </w:p>
    <w:p>
      <w:pPr>
        <w:pStyle w:val="Heading1"/>
        <w:pBdr>
          <w:top w:val="none" w:color="FFFFFF" w:sz="0"/>
          <w:bottom w:val="single" w:color="2E5DA6" w:sz="10" w:space="2"/>
          <w:left w:val="none" w:color="FFFFFF" w:sz="0"/>
          <w:right w:val="none" w:color="FFFFFF" w:sz="0"/>
        </w:pBdr>
        <w:spacing w:after="140" w:before="340"/>
      </w:pPr>
      <w:r>
        <w:rPr>
          <w:rFonts w:ascii="Arial" w:cs="Arial" w:eastAsia="Arial" w:hAnsi="Arial"/>
          <w:b/>
          <w:bCs/>
          <w:i w:val="false"/>
          <w:iCs w:val="false"/>
          <w:color w:val="1F3864"/>
          <w:sz w:val="30"/>
          <w:szCs w:val="30"/>
        </w:rPr>
        <w:t xml:space="preserve">1. Sécurité et conformité</w:t>
      </w:r>
    </w:p>
    <w:p>
      <w:pPr>
        <w:pStyle w:val="Heading2"/>
        <w:spacing w:after="80" w:before="240"/>
      </w:pPr>
      <w:r>
        <w:rPr>
          <w:rFonts w:ascii="Arial" w:cs="Arial" w:eastAsia="Arial" w:hAnsi="Arial"/>
          <w:b/>
          <w:bCs/>
          <w:i w:val="false"/>
          <w:iCs w:val="false"/>
          <w:color w:val="2E5DA6"/>
          <w:sz w:val="26"/>
          <w:szCs w:val="26"/>
        </w:rPr>
        <w:t xml:space="preserve">1.1 Protection des flux de données en transit — SSL/TLS</w:t>
      </w:r>
    </w:p>
    <w:p>
      <w:pPr>
        <w:spacing w:after="80" w:before="80"/>
        <w:jc w:val="left"/>
      </w:pPr>
      <w:r>
        <w:rPr>
          <w:rFonts w:ascii="Arial" w:cs="Arial" w:eastAsia="Arial" w:hAnsi="Arial"/>
          <w:b w:val="false"/>
          <w:bCs w:val="false"/>
          <w:i w:val="false"/>
          <w:iCs w:val="false"/>
          <w:color w:val="000000"/>
          <w:sz w:val="22"/>
          <w:szCs w:val="22"/>
        </w:rPr>
        <w:t xml:space="preserve">La sécurisation des transferts de données constitue un prérequis fondamental dans le contexte industriel d'InduTechData, où les données IoT et les données métier (ERP, CRM) ont une valeur critique. L'architecture proposée garantit un chiffrement cohérent sur l'intégralité de la chaîne de données, de la source on-premise jusqu'à l'entrepôt Redshift.</w:t>
      </w:r>
    </w:p>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500"/>
      </w:tblGrid>
      <w:tr>
        <w:trPr>
          <w:tblHeader/>
        </w:trPr>
        <w:tc>
          <w:tcPr>
            <w:tcW w:type="dxa" w:w="32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Segment du flux de données</w:t>
            </w:r>
          </w:p>
        </w:tc>
        <w:tc>
          <w:tcPr>
            <w:tcW w:type="dxa" w:w="24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Protocole de chiffrement</w:t>
            </w:r>
          </w:p>
        </w:tc>
        <w:tc>
          <w:tcPr>
            <w:tcW w:type="dxa" w:w="35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Niveau de protection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On-premise → AWS (VPN IPSec)</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AES-256 + IPSec</w:t>
            </w:r>
          </w:p>
        </w:tc>
        <w:tc>
          <w:tcPr>
            <w:tcW w:type="dxa" w:w="3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Tunnel réseau entièrement chiffré</w:t>
            </w:r>
          </w:p>
        </w:tc>
      </w:tr>
      <w:tr>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On-premise → AWS (Direct Connect)</w:t>
            </w:r>
          </w:p>
        </w:tc>
        <w:tc>
          <w:tcPr>
            <w:tcW w:type="dxa" w:w="2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MACsec / TLS overlay</w:t>
            </w:r>
          </w:p>
        </w:tc>
        <w:tc>
          <w:tcPr>
            <w:tcW w:type="dxa" w:w="35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Liaison privée dédiée, non mutualisée</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Topics Redpanda / Amazon MSK</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TLS 1.2 / 1.3</w:t>
            </w:r>
          </w:p>
        </w:tc>
        <w:tc>
          <w:tcPr>
            <w:tcW w:type="dxa" w:w="3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Chiffrement client et inter-brokers</w:t>
            </w:r>
          </w:p>
        </w:tc>
      </w:tr>
      <w:tr>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S3 (données au repos)</w:t>
            </w:r>
          </w:p>
        </w:tc>
        <w:tc>
          <w:tcPr>
            <w:tcW w:type="dxa" w:w="2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SSE-KMS (AES-256)</w:t>
            </w:r>
          </w:p>
        </w:tc>
        <w:tc>
          <w:tcPr>
            <w:tcW w:type="dxa" w:w="35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Chiffrement géré par AWS KMS</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Redshift (données au repos)</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AES-256 natif</w:t>
            </w:r>
          </w:p>
        </w:tc>
        <w:tc>
          <w:tcPr>
            <w:tcW w:type="dxa" w:w="3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Chiffrement de l'entrepôt de données</w:t>
            </w:r>
          </w:p>
        </w:tc>
      </w:tr>
      <w:tr>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EMR → S3 (Spark en transit)</w:t>
            </w:r>
          </w:p>
        </w:tc>
        <w:tc>
          <w:tcPr>
            <w:tcW w:type="dxa" w:w="2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TLS 1.2</w:t>
            </w:r>
          </w:p>
        </w:tc>
        <w:tc>
          <w:tcPr>
            <w:tcW w:type="dxa" w:w="35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Chiffrement des transferts Spark vers S3</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DMS (réplication CDC)</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SSL/TLS</w:t>
            </w:r>
          </w:p>
        </w:tc>
        <w:tc>
          <w:tcPr>
            <w:tcW w:type="dxa" w:w="3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Chiffrement de la réplication SQL Server</w:t>
            </w:r>
          </w:p>
        </w:tc>
      </w:tr>
    </w:tbl>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7900"/>
      </w:tblGrid>
      <w:tr>
        <w:tc>
          <w:tcPr>
            <w:tcW w:type="dxa" w:w="1200"/>
            <w:tcBorders>
              <w:top w:val="single" w:color="DDDDDD" w:sz="1"/>
              <w:left w:val="single" w:color="DDDDDD" w:sz="1"/>
              <w:bottom w:val="single" w:color="DDDDDD" w:sz="1"/>
              <w:right w:val="single" w:color="DDDDDD" w:sz="1"/>
            </w:tcBorders>
            <w:shd w:fill="E8F5E9" w:val="clear"/>
            <w:tcMar>
              <w:top w:type="dxa" w:w="120"/>
              <w:left w:type="dxa" w:w="100"/>
              <w:bottom w:type="dxa" w:w="120"/>
              <w:right w:type="dxa" w:w="80"/>
            </w:tcMar>
            <w:vAlign w:val="center"/>
          </w:tcPr>
          <w:p>
            <w:pPr>
              <w:spacing w:after="80" w:before="80"/>
              <w:jc w:val="center"/>
            </w:pPr>
            <w:r>
              <w:rPr>
                <w:rFonts w:ascii="Arial" w:cs="Arial" w:eastAsia="Arial" w:hAnsi="Arial"/>
                <w:b/>
                <w:bCs/>
                <w:i w:val="false"/>
                <w:iCs w:val="false"/>
                <w:color w:val="1B5E20"/>
                <w:sz w:val="32"/>
                <w:szCs w:val="32"/>
              </w:rPr>
              <w:t xml:space="preserve">✅</w:t>
            </w:r>
            <w:r>
              <w:rPr>
                <w:rFonts w:ascii="Arial" w:cs="Arial" w:eastAsia="Arial" w:hAnsi="Arial"/>
                <w:b/>
                <w:bCs/>
                <w:i w:val="false"/>
                <w:iCs w:val="false"/>
                <w:color w:val="1B5E20"/>
                <w:sz w:val="18"/>
                <w:szCs w:val="18"/>
              </w:rPr>
              <w:t xml:space="preserve">
Avantage</w:t>
            </w:r>
          </w:p>
        </w:tc>
        <w:tc>
          <w:tcPr>
            <w:tcW w:type="dxa" w:w="790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40"/>
            </w:tcMar>
          </w:tcPr>
          <w:p>
            <w:pPr>
              <w:spacing w:after="80" w:before="80"/>
              <w:jc w:val="left"/>
            </w:pPr>
            <w:r>
              <w:rPr>
                <w:rFonts w:ascii="Arial" w:cs="Arial" w:eastAsia="Arial" w:hAnsi="Arial"/>
                <w:b w:val="false"/>
                <w:bCs w:val="false"/>
                <w:i w:val="false"/>
                <w:iCs w:val="false"/>
                <w:color w:val="000000"/>
                <w:sz w:val="22"/>
                <w:szCs w:val="22"/>
              </w:rPr>
              <w:t xml:space="preserve">Chiffrement end-to-end cohérent : chaque segment de la chaîne est couvert par TLS ou AES-256. Aucune donnée sensible ne transite en clair sur le réseau, que ce soit entre le datacenter et AWS ou entre les services cloud eux-mêmes. La surface d'attaque est réduite au minimum.</w:t>
            </w:r>
          </w:p>
        </w:tc>
      </w:tr>
    </w:tbl>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7900"/>
      </w:tblGrid>
      <w:tr>
        <w:tc>
          <w:tcPr>
            <w:tcW w:type="dxa" w:w="1200"/>
            <w:tcBorders>
              <w:top w:val="single" w:color="DDDDDD" w:sz="1"/>
              <w:left w:val="single" w:color="DDDDDD" w:sz="1"/>
              <w:bottom w:val="single" w:color="DDDDDD" w:sz="1"/>
              <w:right w:val="single" w:color="DDDDDD" w:sz="1"/>
            </w:tcBorders>
            <w:shd w:fill="FFF9E6" w:val="clear"/>
            <w:tcMar>
              <w:top w:type="dxa" w:w="120"/>
              <w:left w:type="dxa" w:w="100"/>
              <w:bottom w:type="dxa" w:w="120"/>
              <w:right w:type="dxa" w:w="80"/>
            </w:tcMar>
            <w:vAlign w:val="center"/>
          </w:tcPr>
          <w:p>
            <w:pPr>
              <w:spacing w:after="80" w:before="80"/>
              <w:jc w:val="center"/>
            </w:pPr>
            <w:r>
              <w:rPr>
                <w:rFonts w:ascii="Arial" w:cs="Arial" w:eastAsia="Arial" w:hAnsi="Arial"/>
                <w:b/>
                <w:bCs/>
                <w:i w:val="false"/>
                <w:iCs w:val="false"/>
                <w:color w:val="BF360C"/>
                <w:sz w:val="32"/>
                <w:szCs w:val="32"/>
              </w:rPr>
              <w:t xml:space="preserve">⚠</w:t>
            </w:r>
            <w:r>
              <w:rPr>
                <w:rFonts w:ascii="Arial" w:cs="Arial" w:eastAsia="Arial" w:hAnsi="Arial"/>
                <w:b/>
                <w:bCs/>
                <w:i w:val="false"/>
                <w:iCs w:val="false"/>
                <w:color w:val="BF360C"/>
                <w:sz w:val="18"/>
                <w:szCs w:val="18"/>
              </w:rPr>
              <w:t xml:space="preserve">
Point d'attention</w:t>
            </w:r>
          </w:p>
        </w:tc>
        <w:tc>
          <w:tcPr>
            <w:tcW w:type="dxa" w:w="7900"/>
            <w:tcBorders>
              <w:top w:val="single" w:color="DDDDDD" w:sz="1"/>
              <w:left w:val="single" w:color="DDDDDD" w:sz="1"/>
              <w:bottom w:val="single" w:color="DDDDDD" w:sz="1"/>
              <w:right w:val="single" w:color="DDDDDD" w:sz="1"/>
            </w:tcBorders>
            <w:shd w:fill="FFF9E6" w:val="clear"/>
            <w:tcMar>
              <w:top w:type="dxa" w:w="120"/>
              <w:left w:type="dxa" w:w="180"/>
              <w:bottom w:type="dxa" w:w="120"/>
              <w:right w:type="dxa" w:w="140"/>
            </w:tcMar>
          </w:tcPr>
          <w:p>
            <w:pPr>
              <w:spacing w:after="80" w:before="80"/>
              <w:jc w:val="left"/>
            </w:pPr>
            <w:r>
              <w:rPr>
                <w:rFonts w:ascii="Arial" w:cs="Arial" w:eastAsia="Arial" w:hAnsi="Arial"/>
                <w:b w:val="false"/>
                <w:bCs w:val="false"/>
                <w:i w:val="false"/>
                <w:iCs w:val="false"/>
                <w:color w:val="000000"/>
                <w:sz w:val="22"/>
                <w:szCs w:val="22"/>
              </w:rPr>
              <w:t xml:space="preserve">La gestion des certificats TLS sur MSK nécessite une rotation régulière. Il est fortement recommandé d'utiliser AWS Certificate Manager (ACM) pour automatiser ce processus et éviter les expirations silencieuses qui bloqueraient les flux de production sans alertes visibles.</w:t>
            </w:r>
          </w:p>
        </w:tc>
      </w:tr>
    </w:tbl>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1.2 Gestion des identités — Active Directory et AWS</w:t>
      </w:r>
    </w:p>
    <w:p>
      <w:pPr>
        <w:spacing w:after="80" w:before="80"/>
        <w:jc w:val="left"/>
      </w:pPr>
      <w:r>
        <w:rPr>
          <w:rFonts w:ascii="Arial" w:cs="Arial" w:eastAsia="Arial" w:hAnsi="Arial"/>
          <w:b w:val="false"/>
          <w:bCs w:val="false"/>
          <w:i w:val="false"/>
          <w:iCs w:val="false"/>
          <w:color w:val="000000"/>
          <w:sz w:val="22"/>
          <w:szCs w:val="22"/>
        </w:rPr>
        <w:t xml:space="preserve">InduTechData dispose d'un Active Directory (AD) on-premise qui centralise l'authentification de l'ensemble des utilisateurs. L'extension homogène de cette gestion au cloud est indispensable pour éviter la duplication de comptes et garantir une politique de sécurité cohérente et centralisée.</w:t>
      </w:r>
    </w:p>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300"/>
      </w:tblGrid>
      <w:tr>
        <w:trPr>
          <w:tblHeader/>
        </w:trPr>
        <w:tc>
          <w:tcPr>
            <w:tcW w:type="dxa" w:w="26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Composant</w:t>
            </w:r>
          </w:p>
        </w:tc>
        <w:tc>
          <w:tcPr>
            <w:tcW w:type="dxa" w:w="32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Rôle</w:t>
            </w:r>
          </w:p>
        </w:tc>
        <w:tc>
          <w:tcPr>
            <w:tcW w:type="dxa" w:w="33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Interaction avec l'AD on-premise</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Active Directory (on-premise)</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Source d'autorité : comptes, groupes, GPO</w:t>
            </w:r>
          </w:p>
        </w:tc>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Annuaire de référence unique</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Directory Service</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Extension AD cloud via Managed Microsoft AD</w:t>
            </w:r>
          </w:p>
        </w:tc>
        <w:tc>
          <w:tcPr>
            <w:tcW w:type="dxa" w:w="33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Synchronisation bidirectionnelle LDAP</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IAM</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Contrôle d'accès granulaire sur tous les services AWS</w:t>
            </w:r>
          </w:p>
        </w:tc>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Fédération via Directory Service</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IAM Identity Center (SSO)</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Authentification unique sur la console AWS</w:t>
            </w:r>
          </w:p>
        </w:tc>
        <w:tc>
          <w:tcPr>
            <w:tcW w:type="dxa" w:w="33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SSO fédéré sur l'AD on-premise</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IAM Roles &amp; Policies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Permissions EMR, S3, Redshift, DMS</w:t>
            </w:r>
          </w:p>
        </w:tc>
        <w:tc>
          <w:tcPr>
            <w:tcW w:type="dxa" w:w="3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Assumés par les services AWS (pas de credentials exposés)</w:t>
            </w:r>
          </w:p>
        </w:tc>
      </w:tr>
    </w:tbl>
    <w:p>
      <w:pPr>
        <w:spacing w:after="0" w:before="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2"/>
          <w:szCs w:val="22"/>
        </w:rPr>
        <w:t xml:space="preserve">AWS Directory Service établit une relation de confiance (trust relationship) avec l'AD on-premise, permettant aux utilisateurs de s'authentifier sur les services AWS avec leurs identifiants d'entreprise existants. Les politiques GPO et les groupes de sécurité définis dans l'AD s'appliquent automatiquement dans le cloud, sans duplication de comptes ni politique contradictoire.</w:t>
      </w:r>
    </w:p>
    <w:p>
      <w:pPr>
        <w:spacing w:after="0" w:before="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Avantage : un seul annuaire de référence — expérience utilisateur transparente entre on-premise et cloud.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Avantage : les politiques de mots de passe et de verrouillage de compte de l'AD s'appliquent automatiquement aux accès cloud.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Limitation : la synchronisation AD ↔ AWS Directory Service introduit une latence de quelques secondes lors de changements d'accès — acceptable en production standard mais à documenter.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Point d'attention coût : AWS Directory Service nécessite deux contrôleurs de domaine minimum (haute disponibilité), soit environ 80 à 120 euros par mois.</w:t>
      </w:r>
    </w:p>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1.3 Conformité RGPD et traçabilité des accès</w:t>
      </w:r>
    </w:p>
    <w:p>
      <w:pPr>
        <w:spacing w:after="80" w:before="80"/>
        <w:jc w:val="left"/>
      </w:pPr>
      <w:r>
        <w:rPr>
          <w:rFonts w:ascii="Arial" w:cs="Arial" w:eastAsia="Arial" w:hAnsi="Arial"/>
          <w:b w:val="false"/>
          <w:bCs w:val="false"/>
          <w:i w:val="false"/>
          <w:iCs w:val="false"/>
          <w:color w:val="000000"/>
          <w:sz w:val="22"/>
          <w:szCs w:val="22"/>
        </w:rPr>
        <w:t xml:space="preserve">Dans le cadre réglementaire européen, InduTechData doit assurer la traçabilité complète des accès aux données personnelles clients (ERP/CRM). Trois services AWS sont indispensables dès le premier jour :</w:t>
      </w:r>
    </w:p>
    <w:p>
      <w:pPr>
        <w:spacing w:after="0" w:before="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AWS CloudTrail : journalise toutes les actions sur les services AWS (qui a accédé à quoi, quand et depuis où). Indispensable pour les audits de conformité RGPD.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AWS Config : surveille en continu la conformité des configurations des ressources AWS et détecte les dérives de sécurité.</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Amazon Macie : analyse automatique des données stockées dans S3 pour détecter les données personnelles mal protégées ou accidentellement exposées.</w:t>
      </w:r>
    </w:p>
    <w:p>
      <w:pPr>
        <w:spacing w:after="80" w:before="80"/>
        <w:jc w:val="left"/>
      </w:pPr>
      <w:r>
        <w:br w:type="page"/>
      </w:r>
    </w:p>
    <w:p>
      <w:pPr>
        <w:pStyle w:val="Heading1"/>
        <w:pBdr>
          <w:top w:val="none" w:color="FFFFFF" w:sz="0"/>
          <w:bottom w:val="single" w:color="2E5DA6" w:sz="10" w:space="2"/>
          <w:left w:val="none" w:color="FFFFFF" w:sz="0"/>
          <w:right w:val="none" w:color="FFFFFF" w:sz="0"/>
        </w:pBdr>
        <w:spacing w:after="140" w:before="340"/>
      </w:pPr>
      <w:r>
        <w:rPr>
          <w:rFonts w:ascii="Arial" w:cs="Arial" w:eastAsia="Arial" w:hAnsi="Arial"/>
          <w:b/>
          <w:bCs/>
          <w:i w:val="false"/>
          <w:iCs w:val="false"/>
          <w:color w:val="1F3864"/>
          <w:sz w:val="30"/>
          <w:szCs w:val="30"/>
        </w:rPr>
        <w:t xml:space="preserve">2. Interopérabilité</w:t>
      </w:r>
    </w:p>
    <w:p>
      <w:pPr>
        <w:pStyle w:val="Heading2"/>
        <w:spacing w:after="80" w:before="240"/>
      </w:pPr>
      <w:r>
        <w:rPr>
          <w:rFonts w:ascii="Arial" w:cs="Arial" w:eastAsia="Arial" w:hAnsi="Arial"/>
          <w:b/>
          <w:bCs/>
          <w:i w:val="false"/>
          <w:iCs w:val="false"/>
          <w:color w:val="2E5DA6"/>
          <w:sz w:val="26"/>
          <w:szCs w:val="26"/>
        </w:rPr>
        <w:t xml:space="preserve">2.1 Intégration de Redpanda / Amazon MSK avec le SI on-premise</w:t>
      </w:r>
    </w:p>
    <w:p>
      <w:pPr>
        <w:spacing w:after="80" w:before="80"/>
        <w:jc w:val="left"/>
      </w:pPr>
      <w:r>
        <w:rPr>
          <w:rFonts w:ascii="Arial" w:cs="Arial" w:eastAsia="Arial" w:hAnsi="Arial"/>
          <w:b w:val="false"/>
          <w:bCs w:val="false"/>
          <w:i w:val="false"/>
          <w:iCs w:val="false"/>
          <w:color w:val="000000"/>
          <w:sz w:val="22"/>
          <w:szCs w:val="22"/>
        </w:rPr>
        <w:t xml:space="preserve">L'enjeu central de cette architecture est la capacité de Redpanda (et de son équivalent cloud Amazon MSK) à dialoguer avec l'ensemble des systèmes existants d'InduTechData sans imposer de refonte applicative. La compatibilité Kafka est la clé de cette intégration.</w:t>
      </w:r>
    </w:p>
    <w:p>
      <w:pPr>
        <w:spacing w:after="0" w:before="0"/>
        <w:jc w:val="left"/>
      </w:pPr>
      <w:r>
        <w:rPr>
          <w:rFonts w:ascii="Arial" w:cs="Arial" w:eastAsia="Arial" w:hAnsi="Arial"/>
          <w:b w:val="false"/>
          <w:bCs w:val="false"/>
          <w:i w:val="false"/>
          <w:iCs w:val="false"/>
          <w:color w:val="000000"/>
          <w:sz w:val="20"/>
          <w:szCs w:val="20"/>
        </w:rPr>
        <w:t xml:space="preserve"/>
      </w:r>
    </w:p>
    <w:p>
      <w:pPr>
        <w:pStyle w:val="Heading3"/>
        <w:spacing w:after="60" w:before="160"/>
      </w:pPr>
      <w:r>
        <w:rPr>
          <w:rFonts w:ascii="Arial" w:cs="Arial" w:eastAsia="Arial" w:hAnsi="Arial"/>
          <w:b/>
          <w:bCs/>
          <w:i w:val="false"/>
          <w:iCs w:val="false"/>
          <w:color w:val="1A4B8C"/>
          <w:sz w:val="24"/>
          <w:szCs w:val="24"/>
        </w:rPr>
        <w:t xml:space="preserve">Mécanismes d'intégration par source de données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200"/>
        <w:gridCol w:w="2100"/>
      </w:tblGrid>
      <w:tr>
        <w:trPr>
          <w:tblHeader/>
        </w:trPr>
        <w:tc>
          <w:tcPr>
            <w:tcW w:type="dxa" w:w="24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Source on-premise</w:t>
            </w:r>
          </w:p>
        </w:tc>
        <w:tc>
          <w:tcPr>
            <w:tcW w:type="dxa" w:w="14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Volume</w:t>
            </w:r>
          </w:p>
        </w:tc>
        <w:tc>
          <w:tcPr>
            <w:tcW w:type="dxa" w:w="32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Mécanisme d'intégration</w:t>
            </w:r>
          </w:p>
        </w:tc>
        <w:tc>
          <w:tcPr>
            <w:tcW w:type="dxa" w:w="21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Mode de transfert</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SQL Server (ERP/CRM)</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40 To</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DMS (CDC) + Kafka JDBC Source Connector</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Batch + temps réel (CDC)</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SAN (logs système)</w:t>
            </w:r>
          </w:p>
        </w:tc>
        <w:tc>
          <w:tcPr>
            <w:tcW w:type="dxa" w:w="1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10 To</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MSK via Kafka API (TCP/TLS)</w:t>
            </w:r>
          </w:p>
        </w:tc>
        <w:tc>
          <w:tcPr>
            <w:tcW w:type="dxa" w:w="21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Temps réel continu</w:t>
            </w:r>
          </w:p>
        </w:tc>
      </w:tr>
      <w:tr>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Capteurs IoT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+50 Go/mois</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MQTT/HTTP → broker edge → Kafka API</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Streaming temps réel</w:t>
            </w:r>
          </w:p>
        </w:tc>
      </w:tr>
      <w:tr>
        <w:tc>
          <w:tcPr>
            <w:tcW w:type="dxa" w:w="2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Active Directory</w:t>
            </w:r>
          </w:p>
        </w:tc>
        <w:tc>
          <w:tcPr>
            <w:tcW w:type="dxa" w:w="1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Directory Service (trust LDAP)</w:t>
            </w:r>
          </w:p>
        </w:tc>
        <w:tc>
          <w:tcPr>
            <w:tcW w:type="dxa" w:w="21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Synchronisé en continu</w:t>
            </w:r>
          </w:p>
        </w:tc>
      </w:tr>
    </w:tbl>
    <w:p>
      <w:pPr>
        <w:spacing w:after="0" w:before="0"/>
        <w:jc w:val="left"/>
      </w:pPr>
      <w:r>
        <w:rPr>
          <w:rFonts w:ascii="Arial" w:cs="Arial" w:eastAsia="Arial" w:hAnsi="Arial"/>
          <w:b w:val="false"/>
          <w:bCs w:val="false"/>
          <w:i w:val="false"/>
          <w:iCs w:val="false"/>
          <w:color w:val="000000"/>
          <w:sz w:val="20"/>
          <w:szCs w:val="20"/>
        </w:rPr>
        <w:t xml:space="preserve"/>
      </w:r>
    </w:p>
    <w:p>
      <w:pPr>
        <w:pStyle w:val="Heading3"/>
        <w:spacing w:after="60" w:before="160"/>
      </w:pPr>
      <w:r>
        <w:rPr>
          <w:rFonts w:ascii="Arial" w:cs="Arial" w:eastAsia="Arial" w:hAnsi="Arial"/>
          <w:b/>
          <w:bCs/>
          <w:i w:val="false"/>
          <w:iCs w:val="false"/>
          <w:color w:val="1A4B8C"/>
          <w:sz w:val="24"/>
          <w:szCs w:val="24"/>
        </w:rPr>
        <w:t xml:space="preserve">Compatibilité Kafka — Zéro recodage applicatif</w:t>
      </w:r>
    </w:p>
    <w:p>
      <w:pPr>
        <w:spacing w:after="80" w:before="80"/>
        <w:jc w:val="left"/>
      </w:pPr>
      <w:r>
        <w:rPr>
          <w:rFonts w:ascii="Arial" w:cs="Arial" w:eastAsia="Arial" w:hAnsi="Arial"/>
          <w:b w:val="false"/>
          <w:bCs w:val="false"/>
          <w:i w:val="false"/>
          <w:iCs w:val="false"/>
          <w:color w:val="000000"/>
          <w:sz w:val="22"/>
          <w:szCs w:val="22"/>
        </w:rPr>
        <w:t xml:space="preserve">Redpanda et Amazon MSK exposent une API 100 % compatible Kafka. Cela signifie que tous les connecteurs Kafka existants fonctionnent nativement, sans modification de code :</w:t>
      </w:r>
    </w:p>
    <w:p>
      <w:pPr>
        <w:spacing w:after="0" w:before="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Kafka JDBC Source Connector : capture des modifications SQL Server en quasi-temps réel via le mécanisme CDC (Change Data Capture).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S3 Sink Connector : écriture automatique et continue des topics MSK vers S3 en format Parquet ou JSON.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Redshift Sink Connector : chargement direct des données traitées dans l'entrepôt Redshift sans ETL supplémentaire.</w:t>
      </w:r>
    </w:p>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7900"/>
      </w:tblGrid>
      <w:tr>
        <w:tc>
          <w:tcPr>
            <w:tcW w:type="dxa" w:w="1200"/>
            <w:tcBorders>
              <w:top w:val="single" w:color="DDDDDD" w:sz="1"/>
              <w:left w:val="single" w:color="DDDDDD" w:sz="1"/>
              <w:bottom w:val="single" w:color="DDDDDD" w:sz="1"/>
              <w:right w:val="single" w:color="DDDDDD" w:sz="1"/>
            </w:tcBorders>
            <w:shd w:fill="E8F5E9" w:val="clear"/>
            <w:tcMar>
              <w:top w:type="dxa" w:w="120"/>
              <w:left w:type="dxa" w:w="100"/>
              <w:bottom w:type="dxa" w:w="120"/>
              <w:right w:type="dxa" w:w="80"/>
            </w:tcMar>
            <w:vAlign w:val="center"/>
          </w:tcPr>
          <w:p>
            <w:pPr>
              <w:spacing w:after="80" w:before="80"/>
              <w:jc w:val="center"/>
            </w:pPr>
            <w:r>
              <w:rPr>
                <w:rFonts w:ascii="Arial" w:cs="Arial" w:eastAsia="Arial" w:hAnsi="Arial"/>
                <w:b/>
                <w:bCs/>
                <w:i w:val="false"/>
                <w:iCs w:val="false"/>
                <w:color w:val="1B5E20"/>
                <w:sz w:val="32"/>
                <w:szCs w:val="32"/>
              </w:rPr>
              <w:t xml:space="preserve">✅</w:t>
            </w:r>
            <w:r>
              <w:rPr>
                <w:rFonts w:ascii="Arial" w:cs="Arial" w:eastAsia="Arial" w:hAnsi="Arial"/>
                <w:b/>
                <w:bCs/>
                <w:i w:val="false"/>
                <w:iCs w:val="false"/>
                <w:color w:val="1B5E20"/>
                <w:sz w:val="18"/>
                <w:szCs w:val="18"/>
              </w:rPr>
              <w:t xml:space="preserve">
Avantage clé</w:t>
            </w:r>
          </w:p>
        </w:tc>
        <w:tc>
          <w:tcPr>
            <w:tcW w:type="dxa" w:w="790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40"/>
            </w:tcMar>
          </w:tcPr>
          <w:p>
            <w:pPr>
              <w:spacing w:after="80" w:before="80"/>
              <w:jc w:val="left"/>
            </w:pPr>
            <w:r>
              <w:rPr>
                <w:rFonts w:ascii="Arial" w:cs="Arial" w:eastAsia="Arial" w:hAnsi="Arial"/>
                <w:b w:val="false"/>
                <w:bCs w:val="false"/>
                <w:i w:val="false"/>
                <w:iCs w:val="false"/>
                <w:color w:val="000000"/>
                <w:sz w:val="22"/>
                <w:szCs w:val="22"/>
              </w:rPr>
              <w:t xml:space="preserve">Grâce à la compatibilité totale de Redpanda/MSK avec l'API Kafka, InduTechData peut réutiliser tous ses connecteurs et clients Kafka existants. Aucune migration de code applicatif n'est nécessaire : seule l'URL de configuration du broker change lors du passage de l'environnement local Docker à la production AWS.</w:t>
            </w:r>
          </w:p>
        </w:tc>
      </w:tr>
    </w:tbl>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2.2 Pipeline de tickets clients — Mapping local vers AWS</w:t>
      </w:r>
    </w:p>
    <w:p>
      <w:pPr>
        <w:spacing w:after="80" w:before="80"/>
        <w:jc w:val="left"/>
      </w:pPr>
      <w:r>
        <w:rPr>
          <w:rFonts w:ascii="Arial" w:cs="Arial" w:eastAsia="Arial" w:hAnsi="Arial"/>
          <w:b w:val="false"/>
          <w:bCs w:val="false"/>
          <w:i w:val="false"/>
          <w:iCs w:val="false"/>
          <w:color w:val="000000"/>
          <w:sz w:val="22"/>
          <w:szCs w:val="22"/>
        </w:rPr>
        <w:t xml:space="preserve">L'Exercice 2 consiste à implémenter un POC de gestion de tickets clients avec Redpanda et PySpark. Chaque composant du pipeline local Docker a son équivalent AWS direct, permettant une transposition sans réécriture de la logique métier :</w:t>
      </w:r>
    </w:p>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100"/>
      </w:tblGrid>
      <w:tr>
        <w:trPr>
          <w:tblHeader/>
        </w:trPr>
        <w:tc>
          <w:tcPr>
            <w:tcW w:type="dxa" w:w="20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Étape du pipeline</w:t>
            </w:r>
          </w:p>
        </w:tc>
        <w:tc>
          <w:tcPr>
            <w:tcW w:type="dxa" w:w="24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Local — Docker Compose</w:t>
            </w:r>
          </w:p>
        </w:tc>
        <w:tc>
          <w:tcPr>
            <w:tcW w:type="dxa" w:w="26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AWS Cloud — Production</w:t>
            </w:r>
          </w:p>
        </w:tc>
        <w:tc>
          <w:tcPr>
            <w:tcW w:type="dxa" w:w="21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Protocole / Format</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Génération tickets</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producer_tickets.py</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Lambda</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Python / Kafka API</w:t>
            </w:r>
          </w:p>
        </w:tc>
      </w:tr>
      <w:tr>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Streaming</w:t>
            </w:r>
          </w:p>
        </w:tc>
        <w:tc>
          <w:tcPr>
            <w:tcW w:type="dxa" w:w="2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Redpanda · topic client_tickets</w:t>
            </w:r>
          </w:p>
        </w:tc>
        <w:tc>
          <w:tcPr>
            <w:tcW w:type="dxa" w:w="26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MSK · topic client_tickets</w:t>
            </w:r>
          </w:p>
        </w:tc>
        <w:tc>
          <w:tcPr>
            <w:tcW w:type="dxa" w:w="21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Kafka API (TLS 1.3)</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Traitement</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PySpark (Docker)</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EMR (Spark managé)</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Spark Streaming</w:t>
            </w:r>
          </w:p>
        </w:tc>
      </w:tr>
      <w:tr>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Stockage résultats</w:t>
            </w:r>
          </w:p>
        </w:tc>
        <w:tc>
          <w:tcPr>
            <w:tcW w:type="dxa" w:w="2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data/output/ (Parquet/JSON)</w:t>
            </w:r>
          </w:p>
        </w:tc>
        <w:tc>
          <w:tcPr>
            <w:tcW w:type="dxa" w:w="26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S3 — Data Lake</w:t>
            </w:r>
          </w:p>
        </w:tc>
        <w:tc>
          <w:tcPr>
            <w:tcW w:type="dxa" w:w="21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S3 API (HTTPS)</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Analyse SQL</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Redshift</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JDBC / SQL</w:t>
            </w:r>
          </w:p>
        </w:tc>
      </w:tr>
      <w:tr>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Orchestration</w:t>
            </w:r>
          </w:p>
        </w:tc>
        <w:tc>
          <w:tcPr>
            <w:tcW w:type="dxa" w:w="2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docker-compose.yml</w:t>
            </w:r>
          </w:p>
        </w:tc>
        <w:tc>
          <w:tcPr>
            <w:tcW w:type="dxa" w:w="26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CloudFormation / CDK</w:t>
            </w:r>
          </w:p>
        </w:tc>
        <w:tc>
          <w:tcPr>
            <w:tcW w:type="dxa" w:w="21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IaC YAML/Python</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Monitoring</w:t>
            </w:r>
          </w:p>
        </w:tc>
        <w:tc>
          <w:tcPr>
            <w:tcW w:type="dxa" w:w="2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Logs terminal</w:t>
            </w:r>
          </w:p>
        </w:tc>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CloudWatch</w:t>
            </w:r>
          </w:p>
        </w:tc>
        <w:tc>
          <w:tcPr>
            <w:tcW w:type="dxa" w:w="21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Métriques + alertes</w:t>
            </w:r>
          </w:p>
        </w:tc>
      </w:tr>
    </w:tbl>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2.3 Automatisation des flux de données</w:t>
      </w:r>
    </w:p>
    <w:p>
      <w:pPr>
        <w:spacing w:after="80" w:before="80"/>
        <w:jc w:val="left"/>
      </w:pPr>
      <w:r>
        <w:rPr>
          <w:rFonts w:ascii="Arial" w:cs="Arial" w:eastAsia="Arial" w:hAnsi="Arial"/>
          <w:b w:val="false"/>
          <w:bCs w:val="false"/>
          <w:i w:val="false"/>
          <w:iCs w:val="false"/>
          <w:color w:val="000000"/>
          <w:sz w:val="22"/>
          <w:szCs w:val="22"/>
        </w:rPr>
        <w:t xml:space="preserve">L'architecture proposée permet une automatisation complète des flux sans intervention manuelle récurrente :</w:t>
      </w:r>
    </w:p>
    <w:p>
      <w:pPr>
        <w:spacing w:after="0" w:before="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Flux temps réel (IoT, logs) : automatisés en continu via les topics MSK et les connecteurs Sink vers S3 et Redshift. Latence inférieure à la seconde.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Flux batch (SQL Server → Redshift) : planifiés via AWS DMS avec des fenêtres de réplication configurables (horaires ou en continu avec CDC).</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Orchestration avancée : AWS Step Functions peut orchestrer les pipelines complexes et gérer les dépendances entre traitements Spark sur EMR.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Surveillance automatisée : Amazon CloudWatch surveille les métriques MSK, EMR et DMS avec alertes automatiques par email ou SMS en cas d'anomalie.</w:t>
      </w:r>
    </w:p>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7900"/>
      </w:tblGrid>
      <w:tr>
        <w:tc>
          <w:tcPr>
            <w:tcW w:type="dxa" w:w="1200"/>
            <w:tcBorders>
              <w:top w:val="single" w:color="DDDDDD" w:sz="1"/>
              <w:left w:val="single" w:color="DDDDDD" w:sz="1"/>
              <w:bottom w:val="single" w:color="DDDDDD" w:sz="1"/>
              <w:right w:val="single" w:color="DDDDDD" w:sz="1"/>
            </w:tcBorders>
            <w:shd w:fill="FFF9E6" w:val="clear"/>
            <w:tcMar>
              <w:top w:type="dxa" w:w="120"/>
              <w:left w:type="dxa" w:w="100"/>
              <w:bottom w:type="dxa" w:w="120"/>
              <w:right w:type="dxa" w:w="80"/>
            </w:tcMar>
            <w:vAlign w:val="center"/>
          </w:tcPr>
          <w:p>
            <w:pPr>
              <w:spacing w:after="80" w:before="80"/>
              <w:jc w:val="center"/>
            </w:pPr>
            <w:r>
              <w:rPr>
                <w:rFonts w:ascii="Arial" w:cs="Arial" w:eastAsia="Arial" w:hAnsi="Arial"/>
                <w:b/>
                <w:bCs/>
                <w:i w:val="false"/>
                <w:iCs w:val="false"/>
                <w:color w:val="BF360C"/>
                <w:sz w:val="32"/>
                <w:szCs w:val="32"/>
              </w:rPr>
              <w:t xml:space="preserve">⚠</w:t>
            </w:r>
            <w:r>
              <w:rPr>
                <w:rFonts w:ascii="Arial" w:cs="Arial" w:eastAsia="Arial" w:hAnsi="Arial"/>
                <w:b/>
                <w:bCs/>
                <w:i w:val="false"/>
                <w:iCs w:val="false"/>
                <w:color w:val="BF360C"/>
                <w:sz w:val="18"/>
                <w:szCs w:val="18"/>
              </w:rPr>
              <w:t xml:space="preserve">
Limitation critique</w:t>
            </w:r>
          </w:p>
        </w:tc>
        <w:tc>
          <w:tcPr>
            <w:tcW w:type="dxa" w:w="7900"/>
            <w:tcBorders>
              <w:top w:val="single" w:color="DDDDDD" w:sz="1"/>
              <w:left w:val="single" w:color="DDDDDD" w:sz="1"/>
              <w:bottom w:val="single" w:color="DDDDDD" w:sz="1"/>
              <w:right w:val="single" w:color="DDDDDD" w:sz="1"/>
            </w:tcBorders>
            <w:shd w:fill="FFF9E6" w:val="clear"/>
            <w:tcMar>
              <w:top w:type="dxa" w:w="120"/>
              <w:left w:type="dxa" w:w="180"/>
              <w:bottom w:type="dxa" w:w="120"/>
              <w:right w:type="dxa" w:w="140"/>
            </w:tcMar>
          </w:tcPr>
          <w:p>
            <w:pPr>
              <w:spacing w:after="80" w:before="80"/>
              <w:jc w:val="left"/>
            </w:pPr>
            <w:r>
              <w:rPr>
                <w:rFonts w:ascii="Arial" w:cs="Arial" w:eastAsia="Arial" w:hAnsi="Arial"/>
                <w:b w:val="false"/>
                <w:bCs w:val="false"/>
                <w:i w:val="false"/>
                <w:iCs w:val="false"/>
                <w:color w:val="000000"/>
                <w:sz w:val="22"/>
                <w:szCs w:val="22"/>
              </w:rPr>
              <w:t xml:space="preserve">L'ensemble des flux temps réel dépend de la qualité de la connexion VPN/Direct Connect entre le datacenter et AWS. Une coupure réseau interromprait immédiatement l'ingestion IoT. Il est recommandé de prévoir un buffer local (Redpanda en mode edge sur un serveur physique) pour assurer la résilience et éviter toute perte de données pendant une interruption réseau.</w:t>
            </w:r>
          </w:p>
        </w:tc>
      </w:tr>
    </w:tbl>
    <w:p>
      <w:pPr>
        <w:spacing w:after="80" w:before="80"/>
        <w:jc w:val="left"/>
      </w:pPr>
      <w:r>
        <w:br w:type="page"/>
      </w:r>
    </w:p>
    <w:p>
      <w:pPr>
        <w:pStyle w:val="Heading1"/>
        <w:pBdr>
          <w:top w:val="none" w:color="FFFFFF" w:sz="0"/>
          <w:bottom w:val="single" w:color="2E5DA6" w:sz="10" w:space="2"/>
          <w:left w:val="none" w:color="FFFFFF" w:sz="0"/>
          <w:right w:val="none" w:color="FFFFFF" w:sz="0"/>
        </w:pBdr>
        <w:spacing w:after="140" w:before="340"/>
      </w:pPr>
      <w:r>
        <w:rPr>
          <w:rFonts w:ascii="Arial" w:cs="Arial" w:eastAsia="Arial" w:hAnsi="Arial"/>
          <w:b/>
          <w:bCs/>
          <w:i w:val="false"/>
          <w:iCs w:val="false"/>
          <w:color w:val="1F3864"/>
          <w:sz w:val="30"/>
          <w:szCs w:val="30"/>
        </w:rPr>
        <w:t xml:space="preserve">3. Scalabilité et gestion des coûts</w:t>
      </w:r>
    </w:p>
    <w:p>
      <w:pPr>
        <w:pStyle w:val="Heading2"/>
        <w:spacing w:after="80" w:before="240"/>
      </w:pPr>
      <w:r>
        <w:rPr>
          <w:rFonts w:ascii="Arial" w:cs="Arial" w:eastAsia="Arial" w:hAnsi="Arial"/>
          <w:b/>
          <w:bCs/>
          <w:i w:val="false"/>
          <w:iCs w:val="false"/>
          <w:color w:val="2E5DA6"/>
          <w:sz w:val="26"/>
          <w:szCs w:val="26"/>
        </w:rPr>
        <w:t xml:space="preserve">3.1 Réponse aux besoins de croissance en données</w:t>
      </w:r>
    </w:p>
    <w:p>
      <w:pPr>
        <w:spacing w:after="80" w:before="80"/>
        <w:jc w:val="left"/>
      </w:pPr>
      <w:r>
        <w:rPr>
          <w:rFonts w:ascii="Arial" w:cs="Arial" w:eastAsia="Arial" w:hAnsi="Arial"/>
          <w:b w:val="false"/>
          <w:bCs w:val="false"/>
          <w:i w:val="false"/>
          <w:iCs w:val="false"/>
          <w:color w:val="000000"/>
          <w:sz w:val="22"/>
          <w:szCs w:val="22"/>
        </w:rPr>
        <w:t xml:space="preserve">Avec une croissance de +50 Go/mois de données IoT, InduTechData a besoin d'une architecture capable de scaler horizontalement sans interruption de service ni intervention lourde de l'équipe infrastructure. L'architecture AWS proposée répond nativement à ce besoin :</w:t>
      </w:r>
    </w:p>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200"/>
      </w:tblGrid>
      <w:tr>
        <w:trPr>
          <w:tblHeader/>
        </w:trPr>
        <w:tc>
          <w:tcPr>
            <w:tcW w:type="dxa" w:w="26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Composant</w:t>
            </w:r>
          </w:p>
        </w:tc>
        <w:tc>
          <w:tcPr>
            <w:tcW w:type="dxa" w:w="43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Mécanisme de scalabilité</w:t>
            </w:r>
          </w:p>
        </w:tc>
        <w:tc>
          <w:tcPr>
            <w:tcW w:type="dxa" w:w="22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Délai de mise à l'échelle</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MSK</w:t>
            </w:r>
          </w:p>
        </w:tc>
        <w:tc>
          <w:tcPr>
            <w:tcW w:type="dxa" w:w="4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Ajout de brokers à chaud · auto-scaling des partitions Kafka</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Minutes</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S3</w:t>
            </w:r>
          </w:p>
        </w:tc>
        <w:tc>
          <w:tcPr>
            <w:tcW w:type="dxa" w:w="43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Scalabilité illimitée et native · aucune configuration requise</w:t>
            </w:r>
          </w:p>
        </w:tc>
        <w:tc>
          <w:tcPr>
            <w:tcW w:type="dxa" w:w="2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Immédiat</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EMR (Spark)</w:t>
            </w:r>
          </w:p>
        </w:tc>
        <w:tc>
          <w:tcPr>
            <w:tcW w:type="dxa" w:w="4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Ajout dynamique de workers EC2 · Spot Instances pour réduire coûts</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5 à 10 minutes</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Redshift</w:t>
            </w:r>
          </w:p>
        </w:tc>
        <w:tc>
          <w:tcPr>
            <w:tcW w:type="dxa" w:w="43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Serverless ou multi-noeuds · Concurrency Scaling automatique</w:t>
            </w:r>
          </w:p>
        </w:tc>
        <w:tc>
          <w:tcPr>
            <w:tcW w:type="dxa" w:w="2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Minutes</w:t>
            </w:r>
          </w:p>
        </w:tc>
      </w:tr>
      <w:tr>
        <w:tc>
          <w:tcPr>
            <w:tcW w:type="dxa" w:w="26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DMS</w:t>
            </w:r>
          </w:p>
        </w:tc>
        <w:tc>
          <w:tcPr>
            <w:tcW w:type="dxa" w:w="43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Mise à l'échelle de l'instance de réplication selon volume CDC</w:t>
            </w:r>
          </w:p>
        </w:tc>
        <w:tc>
          <w:tcPr>
            <w:tcW w:type="dxa" w:w="2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Selon instance</w:t>
            </w:r>
          </w:p>
        </w:tc>
      </w:tr>
      <w:tr>
        <w:tc>
          <w:tcPr>
            <w:tcW w:type="dxa" w:w="26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Lambda</w:t>
            </w:r>
          </w:p>
        </w:tc>
        <w:tc>
          <w:tcPr>
            <w:tcW w:type="dxa" w:w="43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Auto-scaling illimité · milliers d'exécutions parallèles</w:t>
            </w:r>
          </w:p>
        </w:tc>
        <w:tc>
          <w:tcPr>
            <w:tcW w:type="dxa" w:w="2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Immédiat</w:t>
            </w:r>
          </w:p>
        </w:tc>
      </w:tr>
    </w:tbl>
    <w:p>
      <w:pPr>
        <w:spacing w:after="0" w:before="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2"/>
          <w:szCs w:val="22"/>
        </w:rPr>
        <w:t xml:space="preserve">A horizon 2 ans, avec +1,2 To de nouvelles données IoT par an, Amazon S3 absorbera cette croissance sans changement d'architecture. Amazon Redshift peut evoluer d'un noeud dc2.large vers une configuration multi-noeuds ou Serverless lorsque les volumes analytiques l'exigent, sans interruption de service.</w:t>
      </w:r>
    </w:p>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3.2 Recommandations pour surveiller les coûts cloud</w:t>
      </w:r>
    </w:p>
    <w:p>
      <w:pPr>
        <w:spacing w:after="80" w:before="80"/>
        <w:jc w:val="left"/>
      </w:pPr>
      <w:r>
        <w:rPr>
          <w:rFonts w:ascii="Arial" w:cs="Arial" w:eastAsia="Arial" w:hAnsi="Arial"/>
          <w:b w:val="false"/>
          <w:bCs w:val="false"/>
          <w:i w:val="false"/>
          <w:iCs w:val="false"/>
          <w:color w:val="000000"/>
          <w:sz w:val="22"/>
          <w:szCs w:val="22"/>
        </w:rPr>
        <w:t xml:space="preserve">La gestion proactive des coûts est essentielle pour éviter les dérives budgétaires, en particulier avec AWS EMR dont la facturation est à l'heure d'utilisation effective.</w:t>
      </w:r>
    </w:p>
    <w:p>
      <w:pPr>
        <w:spacing w:after="0" w:before="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Amazon CloudWatch : surveillance en temps réel des métriques critiques (CPU EMR, latence MSK, débit Redshift). Configurer des alarmes automatiques avec seuils pour détecter les anomalies avant qu'elles impactent la facture.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AWS Budgets : définir un budget mensuel fixe avec alertes email et SMS à 80 % et 100 % du seuil. Budget initial recommandé : 1 800 euros par mois, à réévaluer après 3 mois de production.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AWS Cost Explorer : analyse détaillée des coûts par service, par tag et par période. Indispensable pour identifier les postes de dépenses imprévus et les ressources sous-utilisées.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Tagging obligatoire des ressources : appliquer des tags (projet, environnement, équipe) sur toutes les ressources AWS pour ventiler précisément les coûts par usage et par équipe.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Spot Instances pour EMR : utiliser des instances Spot pour les traitements batch Spark — économie potentielle de 60 à 70 % sur le coût EMR. Configurer un fallback vers On-Demand en cas d'indisponibilité Spot.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S3 Lifecycle Policies : archiver automatiquement les données de plus de 90 jours vers S3 Glacier Instant Retrieval — réduction des coûts de stockage de 70 % sur les données froides.</w:t>
      </w:r>
    </w:p>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3.3 Estimation des coûts initiaux et récurrents</w:t>
      </w:r>
    </w:p>
    <w:p>
      <w:pPr>
        <w:spacing w:after="80" w:before="80"/>
        <w:jc w:val="left"/>
      </w:pPr>
      <w:r>
        <w:rPr>
          <w:rFonts w:ascii="Arial" w:cs="Arial" w:eastAsia="Arial" w:hAnsi="Arial"/>
          <w:b w:val="false"/>
          <w:bCs w:val="false"/>
          <w:i w:val="false"/>
          <w:iCs w:val="false"/>
          <w:color w:val="000000"/>
          <w:sz w:val="22"/>
          <w:szCs w:val="22"/>
        </w:rPr>
        <w:t xml:space="preserve">Les estimations ci-dessous sont basées sur les volumes actuels d'InduTechData (+50 Go/mois IoT, 40 To SQL Server, cluster Spark 2-4 noeuds). Elles sont indicatives et doivent être affinées via l'AWS Pricing Calculator (calculator.aws).</w:t>
      </w:r>
    </w:p>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000"/>
        <w:gridCol w:w="3200"/>
      </w:tblGrid>
      <w:tr>
        <w:trPr>
          <w:tblHeader/>
        </w:trPr>
        <w:tc>
          <w:tcPr>
            <w:tcW w:type="dxa" w:w="25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Composant</w:t>
            </w:r>
          </w:p>
        </w:tc>
        <w:tc>
          <w:tcPr>
            <w:tcW w:type="dxa" w:w="14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Type de coût</w:t>
            </w:r>
          </w:p>
        </w:tc>
        <w:tc>
          <w:tcPr>
            <w:tcW w:type="dxa" w:w="20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Estimation mensuelle</w:t>
            </w:r>
          </w:p>
        </w:tc>
        <w:tc>
          <w:tcPr>
            <w:tcW w:type="dxa" w:w="3200"/>
            <w:tcBorders>
              <w:top w:val="single" w:color="DDDDDD" w:sz="1"/>
              <w:left w:val="single" w:color="DDDDDD" w:sz="1"/>
              <w:bottom w:val="single" w:color="DDDDDD" w:sz="1"/>
              <w:right w:val="single" w:color="DDDDDD" w:sz="1"/>
            </w:tcBorders>
            <w:shd w:fill="1F3864" w:val="clear"/>
            <w:tcMar>
              <w:top w:type="dxa" w:w="100"/>
              <w:left w:type="dxa" w:w="140"/>
              <w:bottom w:type="dxa" w:w="100"/>
              <w:right w:type="dxa" w:w="80"/>
            </w:tcMar>
          </w:tcPr>
          <w:p>
            <w:pPr>
              <w:spacing w:after="80" w:before="80"/>
              <w:jc w:val="left"/>
            </w:pPr>
            <w:r>
              <w:rPr>
                <w:rFonts w:ascii="Arial" w:cs="Arial" w:eastAsia="Arial" w:hAnsi="Arial"/>
                <w:b/>
                <w:bCs/>
                <w:i w:val="false"/>
                <w:iCs w:val="false"/>
                <w:color w:val="FFFFFF"/>
                <w:sz w:val="20"/>
                <w:szCs w:val="20"/>
              </w:rPr>
              <w:t xml:space="preserve">Base de calcul</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MSK (Kafka managé)</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120 – 300 €</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Volume messages, nb partitions, rétention 7j</w:t>
            </w:r>
          </w:p>
        </w:tc>
      </w:tr>
      <w:tr>
        <w:tc>
          <w:tcPr>
            <w:tcW w:type="dxa" w:w="25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S3 (Data Lake)</w:t>
            </w:r>
          </w:p>
        </w:tc>
        <w:tc>
          <w:tcPr>
            <w:tcW w:type="dxa" w:w="1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15 – 40 €</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50 Go initial + 50 Go/mois · format Parquet</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EMR (Spark)</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200 – 500 €</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Cluster 2-4 noeuds m5.xlarge · Spot Instances</w:t>
            </w:r>
          </w:p>
        </w:tc>
      </w:tr>
      <w:tr>
        <w:tc>
          <w:tcPr>
            <w:tcW w:type="dxa" w:w="25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Amazon Redshift</w:t>
            </w:r>
          </w:p>
        </w:tc>
        <w:tc>
          <w:tcPr>
            <w:tcW w:type="dxa" w:w="1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180 – 350 €</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1 noeud dc2.large (évolutif vers Serverless)</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DMS (réplication CDC)</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50 – 100 €</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Instance t3.medium + volume données répliquées</w:t>
            </w:r>
          </w:p>
        </w:tc>
      </w:tr>
      <w:tr>
        <w:tc>
          <w:tcPr>
            <w:tcW w:type="dxa" w:w="25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Directory Service</w:t>
            </w:r>
          </w:p>
        </w:tc>
        <w:tc>
          <w:tcPr>
            <w:tcW w:type="dxa" w:w="1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80 – 120 €</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2 contrôleurs de domaine (haute disponibilité)</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VPN / Direct Connect</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Mixte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50 – 200 €</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VPN ~50 € · Direct Connect plus onéreux mais stable</w:t>
            </w:r>
          </w:p>
        </w:tc>
      </w:tr>
      <w:tr>
        <w:tc>
          <w:tcPr>
            <w:tcW w:type="dxa" w:w="25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CloudWatch + Budgets</w:t>
            </w:r>
          </w:p>
        </w:tc>
        <w:tc>
          <w:tcPr>
            <w:tcW w:type="dxa" w:w="1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10 – 30 €</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Métriques personnalisées, alertes, dashboards</w:t>
            </w:r>
          </w:p>
        </w:tc>
      </w:tr>
      <w:tr>
        <w:tc>
          <w:tcPr>
            <w:tcW w:type="dxa" w:w="25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AWS Lambda</w:t>
            </w:r>
          </w:p>
        </w:tc>
        <w:tc>
          <w:tcPr>
            <w:tcW w:type="dxa" w:w="1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&lt; 5 €</w:t>
            </w:r>
          </w:p>
        </w:tc>
        <w:tc>
          <w:tcPr>
            <w:tcW w:type="dxa" w:w="32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1 million de requêtes/mois offertes gratuitement</w:t>
            </w:r>
          </w:p>
        </w:tc>
      </w:tr>
      <w:tr>
        <w:tc>
          <w:tcPr>
            <w:tcW w:type="dxa" w:w="25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TOTAL ESTIMÉ</w:t>
            </w:r>
          </w:p>
        </w:tc>
        <w:tc>
          <w:tcPr>
            <w:tcW w:type="dxa" w:w="14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Récurrent</w:t>
            </w:r>
          </w:p>
        </w:tc>
        <w:tc>
          <w:tcPr>
            <w:tcW w:type="dxa" w:w="20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705 – 1 645 €/mois</w:t>
            </w:r>
          </w:p>
        </w:tc>
        <w:tc>
          <w:tcPr>
            <w:tcW w:type="dxa" w:w="320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80"/>
            </w:tcMar>
          </w:tcPr>
          <w:p>
            <w:pPr>
              <w:spacing w:after="80" w:before="80"/>
              <w:jc w:val="left"/>
            </w:pPr>
            <w:r>
              <w:rPr>
                <w:rFonts w:ascii="Arial" w:cs="Arial" w:eastAsia="Arial" w:hAnsi="Arial"/>
                <w:b w:val="false"/>
                <w:bCs w:val="false"/>
                <w:i w:val="false"/>
                <w:iCs w:val="false"/>
                <w:color w:val="000000"/>
                <w:sz w:val="20"/>
                <w:szCs w:val="20"/>
              </w:rPr>
              <w:t xml:space="preserve">Hors coûts initiaux de migration et formation</w:t>
            </w:r>
          </w:p>
        </w:tc>
      </w:tr>
    </w:tbl>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7900"/>
      </w:tblGrid>
      <w:tr>
        <w:tc>
          <w:tcPr>
            <w:tcW w:type="dxa" w:w="1200"/>
            <w:tcBorders>
              <w:top w:val="single" w:color="DDDDDD" w:sz="1"/>
              <w:left w:val="single" w:color="DDDDDD" w:sz="1"/>
              <w:bottom w:val="single" w:color="DDDDDD" w:sz="1"/>
              <w:right w:val="single" w:color="DDDDDD" w:sz="1"/>
            </w:tcBorders>
            <w:shd w:fill="D6E4F0" w:val="clear"/>
            <w:tcMar>
              <w:top w:type="dxa" w:w="120"/>
              <w:left w:type="dxa" w:w="100"/>
              <w:bottom w:type="dxa" w:w="120"/>
              <w:right w:type="dxa" w:w="80"/>
            </w:tcMar>
            <w:vAlign w:val="center"/>
          </w:tcPr>
          <w:p>
            <w:pPr>
              <w:spacing w:after="80" w:before="80"/>
              <w:jc w:val="center"/>
            </w:pPr>
            <w:r>
              <w:rPr>
                <w:rFonts w:ascii="Arial" w:cs="Arial" w:eastAsia="Arial" w:hAnsi="Arial"/>
                <w:b/>
                <w:bCs/>
                <w:i w:val="false"/>
                <w:iCs w:val="false"/>
                <w:color w:val="2E5DA6"/>
                <w:sz w:val="32"/>
                <w:szCs w:val="32"/>
              </w:rPr>
              <w:t xml:space="preserve">ℹ</w:t>
            </w:r>
            <w:r>
              <w:rPr>
                <w:rFonts w:ascii="Arial" w:cs="Arial" w:eastAsia="Arial" w:hAnsi="Arial"/>
                <w:b/>
                <w:bCs/>
                <w:i w:val="false"/>
                <w:iCs w:val="false"/>
                <w:color w:val="2E5DA6"/>
                <w:sz w:val="18"/>
                <w:szCs w:val="18"/>
              </w:rPr>
              <w:t xml:space="preserve">
Coûts initiaux</w:t>
            </w:r>
          </w:p>
        </w:tc>
        <w:tc>
          <w:tcPr>
            <w:tcW w:type="dxa" w:w="7900"/>
            <w:tcBorders>
              <w:top w:val="single" w:color="DDDDDD" w:sz="1"/>
              <w:left w:val="single" w:color="DDDDDD" w:sz="1"/>
              <w:bottom w:val="single" w:color="DDDDDD" w:sz="1"/>
              <w:right w:val="single" w:color="DDDDDD" w:sz="1"/>
            </w:tcBorders>
            <w:shd w:fill="D6E4F0" w:val="clear"/>
            <w:tcMar>
              <w:top w:type="dxa" w:w="120"/>
              <w:left w:type="dxa" w:w="180"/>
              <w:bottom w:type="dxa" w:w="120"/>
              <w:right w:type="dxa" w:w="140"/>
            </w:tcMar>
          </w:tcPr>
          <w:p>
            <w:pPr>
              <w:spacing w:after="80" w:before="80"/>
              <w:jc w:val="left"/>
            </w:pPr>
            <w:r>
              <w:rPr>
                <w:rFonts w:ascii="Arial" w:cs="Arial" w:eastAsia="Arial" w:hAnsi="Arial"/>
                <w:b w:val="false"/>
                <w:bCs w:val="false"/>
                <w:i w:val="false"/>
                <w:iCs w:val="false"/>
                <w:color w:val="000000"/>
                <w:sz w:val="22"/>
                <w:szCs w:val="22"/>
              </w:rPr>
              <w:t xml:space="preserve">Migration initiale des 40 To SQL Server via AWS DMS : coût unique estimé entre 200 et 500 euros selon la durée et la bande passante disponible. Formation des équipes (AWS, MSK, Spark) : prévoir 500 à 2 000 euros selon le prestataire choisi. Ces coûts one-time sont exclus du tableau mensuel ci-dessus.</w:t>
            </w:r>
          </w:p>
        </w:tc>
      </w:tr>
    </w:tbl>
    <w:p>
      <w:pPr>
        <w:spacing w:after="80" w:before="80"/>
        <w:jc w:val="left"/>
      </w:pPr>
      <w:r>
        <w:br w:type="page"/>
      </w:r>
    </w:p>
    <w:p>
      <w:pPr>
        <w:pStyle w:val="Heading1"/>
        <w:pBdr>
          <w:top w:val="none" w:color="FFFFFF" w:sz="0"/>
          <w:bottom w:val="single" w:color="2E5DA6" w:sz="10" w:space="2"/>
          <w:left w:val="none" w:color="FFFFFF" w:sz="0"/>
          <w:right w:val="none" w:color="FFFFFF" w:sz="0"/>
        </w:pBdr>
        <w:spacing w:after="140" w:before="340"/>
      </w:pPr>
      <w:r>
        <w:rPr>
          <w:rFonts w:ascii="Arial" w:cs="Arial" w:eastAsia="Arial" w:hAnsi="Arial"/>
          <w:b/>
          <w:bCs/>
          <w:i w:val="false"/>
          <w:iCs w:val="false"/>
          <w:color w:val="1F3864"/>
          <w:sz w:val="30"/>
          <w:szCs w:val="30"/>
        </w:rPr>
        <w:t xml:space="preserve">4. Synthèse et recommandations</w:t>
      </w:r>
    </w:p>
    <w:p>
      <w:pPr>
        <w:pStyle w:val="Heading2"/>
        <w:spacing w:after="80" w:before="240"/>
      </w:pPr>
      <w:r>
        <w:rPr>
          <w:rFonts w:ascii="Arial" w:cs="Arial" w:eastAsia="Arial" w:hAnsi="Arial"/>
          <w:b/>
          <w:bCs/>
          <w:i w:val="false"/>
          <w:iCs w:val="false"/>
          <w:color w:val="2E5DA6"/>
          <w:sz w:val="26"/>
          <w:szCs w:val="26"/>
        </w:rPr>
        <w:t xml:space="preserve">4.1 Avantages de l'architecture proposée</w:t>
      </w:r>
    </w:p>
    <w:p>
      <w:pPr>
        <w:spacing w:after="0" w:before="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Compatibilité Kafka totale : MSK étant 100 % compatible Kafka, aucune refonte applicative n'est nécessaire. Le passage du POC local Docker à la production AWS se résume à changer l'URL du broker — la logique métier PySpark reste identique.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Gestion des identités unifiée : la synchronisation Active Directory ↔ AWS Directory Service garantit une politique de sécurité homogène entre on-premise et cloud, sans duplication de comptes ni gestion parallèle des accès.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Chiffrement end-to-end cohérent : de la source on-premise jusqu'à Redshift, chaque segment est couvert par TLS ou AES-256. Aucun transfert de données sensibles en clair sur le réseau.</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Scalabilité native et transparente : S3, Lambda et MSK scalent automatiquement sans configuration. EMR et Redshift s'adaptent à la demande avec Spot Instances et Concurrency Scaling — aucune intervention infrastructure requise.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Automatisation complète des flux : les données IoT temps réel et les données SQL Server batch sont traitées et acheminées automatiquement via MSK, DMS et les connecteurs Kafka — sans intervention manuelle récurrente.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POC directement transposable : chaque composant Docker local (Redpanda, PySpark, docker-compose) a son équivalent AWS direct (MSK, EMR, CloudFormation), facilitant la montée en production sans réécriture.</w:t>
      </w:r>
    </w:p>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4.2 Limitations et risques identifiés</w:t>
      </w:r>
    </w:p>
    <w:p>
      <w:pPr>
        <w:spacing w:after="0" w:before="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Dépendance réseau critique : le VPN/Direct Connect est le point de défaillance unique pour tous les flux IoT temps réel. Une coupure réseau de 10 minutes peut entraîner des pertes de données si aucun buffer local n'est configuré.</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Coût des services managés : AWS Directory Service et Redshift représentent 260 à 470 euros par mois à eux seuls. Sans AWS Budgets actif, les coûts EMR peuvent dériver significativement lors de jobs Spark non optimisés.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Latence de synchronisation AD : quelques secondes de délai lors de changements d'accès utilisateurs — acceptable en production standard, mais à documenter pour les équipes support et sécurité.</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Complexité opérationnelle : la stack complète (MSK + EMR + DMS + Redshift + Directory Service) requiert des compétences AWS et data engineering spécifiques. Une montée en compétences de l'équipe est nécessaire avant la mise en production.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Vendor lock-in partiel : les services managés AWS (Redshift, DMS, Directory Service) créent une dépendance à l'écosystème AWS qu'il sera difficile de réverser à moyen terme sans coûts de migration importants.</w:t>
      </w:r>
    </w:p>
    <w:p>
      <w:pPr>
        <w:spacing w:after="0" w:before="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i w:val="false"/>
          <w:iCs w:val="false"/>
          <w:color w:val="2E5DA6"/>
          <w:sz w:val="26"/>
          <w:szCs w:val="26"/>
        </w:rPr>
        <w:t xml:space="preserve">4.3 Points d'attention pour l'intégration</w:t>
      </w:r>
    </w:p>
    <w:p>
      <w:pPr>
        <w:spacing w:after="0" w:before="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Tester la bande passante VPN avant le démarrage : la migration initiale des 40 To SQL Server nécessite une connexion stable. A 100 Mbps, la migration prend environ 37 heures — prévoir une fenêtre de maintenance dédiée.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Définir une stratégie de partitionnement S3 dès le départ : partitionner par date et type de capteur (ex. s3://bucket/iot/annee=2026/mois=05/) pour optimiser les performances des requêtes Spark et Redshift.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Mettre en place un plan de reprise d'activité (PRA) : snapshot Redshift quotidien, réplication S3 multi-région (eu-west-1 + eu-central-1), buffer Redpanda local pour les coupures réseau.</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Activer AWS CloudTrail et AWS Config dès le premier jour : la traçabilité des accès et la conformité RGPD sont indispensables avant tout traitement de données personnelles clients dans le cloud.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Prévoir une phase pilote de 4 à 6 semaines : tester l'architecture avec un sous-ensemble de données IoT et tickets clients avant la bascule complète en production. Valider les performances Spark sur EMR et les latences MSK.</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Surveiller les coûts EMR dès le démarrage : activer les Spot Instances systématiquement et configurer un AWS Budget avec alerte à 80 % du seuil mensuel. EMR est le service le plus sensible aux dérives de coût.</w:t>
      </w:r>
    </w:p>
    <w:p>
      <w:pPr>
        <w:spacing w:after="0" w:before="0"/>
        <w:jc w:val="left"/>
      </w:pPr>
      <w:r>
        <w:rPr>
          <w:rFonts w:ascii="Arial" w:cs="Arial" w:eastAsia="Arial" w:hAnsi="Arial"/>
          <w:b w:val="false"/>
          <w:bCs w:val="false"/>
          <w:i w:val="false"/>
          <w:iCs w:val="false"/>
          <w:color w:val="000000"/>
          <w:sz w:val="20"/>
          <w:szCs w:val="20"/>
        </w:rPr>
        <w:t xml:space="preserve"/>
      </w:r>
    </w:p>
    <w:p>
      <w:pPr>
        <w:pStyle w:val="Heading1"/>
        <w:pBdr>
          <w:top w:val="none" w:color="FFFFFF" w:sz="0"/>
          <w:bottom w:val="single" w:color="2E5DA6" w:sz="10" w:space="2"/>
          <w:left w:val="none" w:color="FFFFFF" w:sz="0"/>
          <w:right w:val="none" w:color="FFFFFF" w:sz="0"/>
        </w:pBdr>
        <w:spacing w:after="140" w:before="340"/>
      </w:pPr>
      <w:r>
        <w:rPr>
          <w:rFonts w:ascii="Arial" w:cs="Arial" w:eastAsia="Arial" w:hAnsi="Arial"/>
          <w:b/>
          <w:bCs/>
          <w:i w:val="false"/>
          <w:iCs w:val="false"/>
          <w:color w:val="1F3864"/>
          <w:sz w:val="30"/>
          <w:szCs w:val="30"/>
        </w:rPr>
        <w:t xml:space="preserve">Conclusion</w:t>
      </w:r>
    </w:p>
    <w:p>
      <w:pPr>
        <w:spacing w:after="80" w:before="80"/>
        <w:jc w:val="left"/>
      </w:pPr>
      <w:r>
        <w:rPr>
          <w:rFonts w:ascii="Arial" w:cs="Arial" w:eastAsia="Arial" w:hAnsi="Arial"/>
          <w:b w:val="false"/>
          <w:bCs w:val="false"/>
          <w:i w:val="false"/>
          <w:iCs w:val="false"/>
          <w:color w:val="000000"/>
          <w:sz w:val="22"/>
          <w:szCs w:val="22"/>
        </w:rPr>
        <w:t xml:space="preserve">L'architecture hybride proposée pour InduTechData est pleinement compatible avec le SI on-premise existant sur les trois axes analysés. Elle garantit la sécurité des flux via TLS end-to-end et IAM, assure une interopérabilité native avec SQL Server et l'Active Directory grâce à la compatibilité Kafka de MSK et AWS Directory Service, et répond aux besoins de scalabilité à moyen terme sans refonte architecturale majeure.</w:t>
      </w:r>
    </w:p>
    <w:p>
      <w:pPr>
        <w:spacing w:after="0" w:before="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2"/>
          <w:szCs w:val="22"/>
        </w:rPr>
        <w:t xml:space="preserve">Le mapping précis entre le POC local Docker (producer_tickets.py, Redpanda, PySpark, docker-compose) et les services AWS équivalents (Lambda, MSK, EMR, CloudFormation) démontre la faisabilité technique et la cohérence de l'approche hybride. Les principaux risques identifiés — dépendance réseau pour les flux IoT et maîtrise des coûts EMR — sont gérables par des mesures de surveillance proactives et une architecture réseau redondante.</w:t>
      </w:r>
    </w:p>
    <w:p>
      <w:pPr>
        <w:spacing w:after="0" w:before="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2"/>
          <w:szCs w:val="22"/>
        </w:rPr>
        <w:t xml:space="preserve">Sous réserve d'une phase pilote réussie de 4 à 6 semaines et d'une formation adéquate des équipes, cette infrastructure constitue une base solide et évolutive pour la modernisation des données d'InduTechData, capable d'absorber la croissance IoT des prochaines années.</w:t>
      </w:r>
    </w:p>
    <w:p>
      <w:pPr>
        <w:spacing w:after="0" w:before="0"/>
        <w:jc w:val="left"/>
      </w:pPr>
      <w:r>
        <w:rPr>
          <w:rFonts w:ascii="Arial" w:cs="Arial" w:eastAsia="Arial" w:hAnsi="Arial"/>
          <w:b w:val="false"/>
          <w:bCs w:val="false"/>
          <w:i w:val="false"/>
          <w:iCs w:val="false"/>
          <w:color w:val="000000"/>
          <w:sz w:val="20"/>
          <w:szCs w:val="20"/>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7900"/>
      </w:tblGrid>
      <w:tr>
        <w:tc>
          <w:tcPr>
            <w:tcW w:type="dxa" w:w="1200"/>
            <w:tcBorders>
              <w:top w:val="single" w:color="DDDDDD" w:sz="1"/>
              <w:left w:val="single" w:color="DDDDDD" w:sz="1"/>
              <w:bottom w:val="single" w:color="DDDDDD" w:sz="1"/>
              <w:right w:val="single" w:color="DDDDDD" w:sz="1"/>
            </w:tcBorders>
            <w:shd w:fill="E8F5E9" w:val="clear"/>
            <w:tcMar>
              <w:top w:type="dxa" w:w="120"/>
              <w:left w:type="dxa" w:w="100"/>
              <w:bottom w:type="dxa" w:w="120"/>
              <w:right w:type="dxa" w:w="80"/>
            </w:tcMar>
            <w:vAlign w:val="center"/>
          </w:tcPr>
          <w:p>
            <w:pPr>
              <w:spacing w:after="80" w:before="80"/>
              <w:jc w:val="center"/>
            </w:pPr>
            <w:r>
              <w:rPr>
                <w:rFonts w:ascii="Arial" w:cs="Arial" w:eastAsia="Arial" w:hAnsi="Arial"/>
                <w:b/>
                <w:bCs/>
                <w:i w:val="false"/>
                <w:iCs w:val="false"/>
                <w:color w:val="1B5E20"/>
                <w:sz w:val="32"/>
                <w:szCs w:val="32"/>
              </w:rPr>
              <w:t xml:space="preserve">✅</w:t>
            </w:r>
            <w:r>
              <w:rPr>
                <w:rFonts w:ascii="Arial" w:cs="Arial" w:eastAsia="Arial" w:hAnsi="Arial"/>
                <w:b/>
                <w:bCs/>
                <w:i w:val="false"/>
                <w:iCs w:val="false"/>
                <w:color w:val="1B5E20"/>
                <w:sz w:val="18"/>
                <w:szCs w:val="18"/>
              </w:rPr>
              <w:t xml:space="preserve">
Verdict</w:t>
            </w:r>
          </w:p>
        </w:tc>
        <w:tc>
          <w:tcPr>
            <w:tcW w:type="dxa" w:w="790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40"/>
            </w:tcMar>
          </w:tcPr>
          <w:p>
            <w:pPr>
              <w:spacing w:after="80" w:before="80"/>
              <w:jc w:val="left"/>
            </w:pPr>
            <w:r>
              <w:rPr>
                <w:rFonts w:ascii="Arial" w:cs="Arial" w:eastAsia="Arial" w:hAnsi="Arial"/>
                <w:b w:val="false"/>
                <w:bCs w:val="false"/>
                <w:i w:val="false"/>
                <w:iCs w:val="false"/>
                <w:color w:val="000000"/>
                <w:sz w:val="22"/>
                <w:szCs w:val="22"/>
              </w:rPr>
              <w:t xml:space="preserve">Architecture hybride viable, sécurisée et compatible avec le SI on-premise d'InduTechData. Tous les composants cloud sélectionnés sont justifiés, documentés et directement transposables depuis le POC local Docker. Estimation budgétaire : 700 à 1 650 euros par mois en régime récurrent, hors coûts initiaux de migration.</w:t>
            </w:r>
          </w:p>
        </w:tc>
      </w:tr>
    </w:tbl>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2E5DA6" w:sz="10" w:space="2"/>
        <w:left w:val="none" w:color="FFFFFF" w:sz="0"/>
        <w:right w:val="none" w:color="FFFFFF" w:sz="0"/>
      </w:pBdr>
      <w:spacing w:after="100" w:before="0"/>
    </w:pPr>
    <w:r>
      <w:rPr>
        <w:rFonts w:ascii="Arial" w:cs="Arial" w:eastAsia="Arial" w:hAnsi="Arial"/>
        <w:b/>
        <w:bCs/>
        <w:i w:val="false"/>
        <w:iCs w:val="false"/>
        <w:color w:val="1F3864"/>
        <w:sz w:val="18"/>
        <w:szCs w:val="18"/>
      </w:rPr>
      <w:t xml:space="preserve">InduTechData</w:t>
    </w:r>
    <w:r>
      <w:rPr>
        <w:rFonts w:ascii="Arial" w:cs="Arial" w:eastAsia="Arial" w:hAnsi="Arial"/>
        <w:b w:val="false"/>
        <w:bCs w:val="false"/>
        <w:i w:val="false"/>
        <w:iCs w:val="false"/>
        <w:color w:val="888888"/>
        <w:sz w:val="18"/>
        <w:szCs w:val="18"/>
      </w:rPr>
      <w:t xml:space="preserve">  —  Évaluation de compatibilité infrastructure hybride  |  Exercice 1, Étape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5DA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4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2026-05-12T21:31:24.303Z</dcterms:created>
  <dcterms:modified xsi:type="dcterms:W3CDTF">2026-05-12T21:31:24.304Z</dcterms:modified>
</cp:coreProperties>
</file>

<file path=docProps/custom.xml><?xml version="1.0" encoding="utf-8"?>
<Properties xmlns="http://schemas.openxmlformats.org/officeDocument/2006/custom-properties" xmlns:vt="http://schemas.openxmlformats.org/officeDocument/2006/docPropsVTypes"/>
</file>