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80" w:before="0"/>
        <w:jc w:val="center"/>
      </w:pPr>
      <w:r>
        <w:rPr>
          <w:rFonts w:ascii="Arial" w:cs="Arial" w:eastAsia="Arial" w:hAnsi="Arial"/>
          <w:b/>
          <w:bCs/>
          <w:color w:val="1F4E79"/>
          <w:sz w:val="52"/>
          <w:szCs w:val="52"/>
        </w:rPr>
        <w:t xml:space="preserve">InduTechData</w:t>
      </w:r>
    </w:p>
    <w:p>
      <w:pPr>
        <w:spacing w:after="200" w:before="0"/>
        <w:jc w:val="center"/>
      </w:pPr>
      <w:r>
        <w:rPr>
          <w:rFonts w:ascii="Arial" w:cs="Arial" w:eastAsia="Arial" w:hAnsi="Arial"/>
          <w:color w:val="1D6A96"/>
          <w:sz w:val="30"/>
          <w:szCs w:val="30"/>
        </w:rPr>
        <w:t xml:space="preserve">Architecture Hybride Cloud — Évaluation de compatibilité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6E4F0" w:val="clear"/>
            <w:tcMar>
              <w:top w:type="dxa" w:w="160"/>
              <w:left w:type="dxa" w:w="200"/>
              <w:bottom w:type="dxa" w:w="160"/>
              <w:right w:type="dxa" w:w="200"/>
            </w:tcMar>
          </w:tcPr>
          <w:p>
            <w:pPr>
              <w:jc w:val="center"/>
            </w:pPr>
            <w:r>
              <w:rPr>
                <w:rFonts w:ascii="Arial" w:cs="Arial" w:eastAsia="Arial" w:hAnsi="Arial"/>
                <w:b/>
                <w:bCs/>
                <w:color w:val="1F4E79"/>
                <w:sz w:val="22"/>
                <w:szCs w:val="22"/>
              </w:rPr>
              <w:t xml:space="preserve">Rapport d'évaluation — Exercice 1, Étape 3</w:t>
            </w:r>
          </w:p>
          <w:p>
            <w:pPr>
              <w:spacing w:before="60"/>
              <w:jc w:val="center"/>
            </w:pPr>
            <w:r>
              <w:rPr>
                <w:rFonts w:ascii="Arial" w:cs="Arial" w:eastAsia="Arial" w:hAnsi="Arial"/>
                <w:color w:val="404040"/>
                <w:sz w:val="20"/>
                <w:szCs w:val="20"/>
              </w:rPr>
              <w:t xml:space="preserve">Analyse de la compatibilité avec le SI on-premise existant</w:t>
            </w:r>
          </w:p>
        </w:tc>
      </w:tr>
    </w:tbl>
    <w:p>
      <w:pPr>
        <w:spacing w:after="0" w:before="300"/>
      </w:pPr>
      <w:r>
        <w:t xml:space="preserve"/>
      </w:r>
    </w:p>
    <w:p>
      <w:pPr>
        <w:jc w:val="center"/>
      </w:pPr>
      <w:r>
        <w:rPr>
          <w:rFonts w:ascii="Arial" w:cs="Arial" w:eastAsia="Arial" w:hAnsi="Arial"/>
          <w:i/>
          <w:iCs/>
          <w:color w:val="888888"/>
          <w:sz w:val="22"/>
          <w:szCs w:val="22"/>
        </w:rPr>
        <w:t xml:space="preserve">Avril 2026</w:t>
      </w:r>
    </w:p>
    <w:p>
      <w:pPr>
        <w:spacing w:after="0" w:before="200"/>
      </w:pPr>
      <w:r>
        <w:t xml:space="preserve"/>
      </w:r>
    </w:p>
    <w:p>
      <w:pPr>
        <w:pStyle w:val="Heading1"/>
        <w:pBdr>
          <w:bottom w:val="single" w:color="2E75B6" w:sz="6" w:space="4"/>
        </w:pBdr>
        <w:spacing w:after="160" w:before="320"/>
      </w:pPr>
      <w:r>
        <w:rPr>
          <w:rFonts w:ascii="Arial" w:cs="Arial" w:eastAsia="Arial" w:hAnsi="Arial"/>
          <w:b/>
          <w:bCs/>
          <w:color w:val="1F4E79"/>
          <w:sz w:val="32"/>
          <w:szCs w:val="32"/>
        </w:rPr>
        <w:t xml:space="preserve">Introduction</w:t>
      </w:r>
    </w:p>
    <w:p>
      <w:pPr>
        <w:spacing w:after="100" w:before="80"/>
        <w:jc w:val="both"/>
      </w:pPr>
      <w:r>
        <w:rPr>
          <w:rFonts w:ascii="Arial" w:cs="Arial" w:eastAsia="Arial" w:hAnsi="Arial"/>
          <w:color w:val="1A1A1A"/>
          <w:sz w:val="22"/>
          <w:szCs w:val="22"/>
        </w:rPr>
        <w:t xml:space="preserve">Ce document présente l'évaluation de compatibilité de l'architecture hybride proposée pour InduTechData avec son système d'information (SI) on-premise existant. L'analyse couvre trois axes principaux : la sécurité et la conformité, l'interopérabilité, ainsi que la scalabilité et la gestion des coûts.</w:t>
      </w:r>
    </w:p>
    <w:p>
      <w:pPr>
        <w:spacing w:after="100" w:before="80"/>
        <w:jc w:val="both"/>
      </w:pPr>
      <w:r>
        <w:rPr>
          <w:rFonts w:ascii="Arial" w:cs="Arial" w:eastAsia="Arial" w:hAnsi="Arial"/>
          <w:color w:val="1A1A1A"/>
          <w:sz w:val="22"/>
          <w:szCs w:val="22"/>
        </w:rPr>
        <w:t xml:space="preserve">L'architecture retenue repose sur les composants suivants : Redpanda (streaming Kafka-compatible), Amazon S3 (data lake), Apache Spark sur AWS EMR (traitement), Amazon Redshift (entrepôt analytique), AWS DMS (synchronisation), et AWS IAM + Directory Service (sécurité et identités).</w:t>
      </w:r>
    </w:p>
    <w:p>
      <w:pPr>
        <w:spacing w:after="0" w:before="120"/>
      </w:pPr>
      <w:r>
        <w:t xml:space="preserve"/>
      </w:r>
    </w:p>
    <w:p>
      <w:pPr>
        <w:pStyle w:val="Heading1"/>
        <w:pBdr>
          <w:bottom w:val="single" w:color="2E75B6" w:sz="6" w:space="4"/>
        </w:pBdr>
        <w:spacing w:after="160" w:before="320"/>
      </w:pPr>
      <w:r>
        <w:rPr>
          <w:rFonts w:ascii="Arial" w:cs="Arial" w:eastAsia="Arial" w:hAnsi="Arial"/>
          <w:b/>
          <w:bCs/>
          <w:color w:val="1F4E79"/>
          <w:sz w:val="32"/>
          <w:szCs w:val="32"/>
        </w:rPr>
        <w:t xml:space="preserve">1. Sécurité et conformité</w:t>
      </w:r>
    </w:p>
    <w:p>
      <w:pPr>
        <w:pStyle w:val="Heading2"/>
        <w:spacing w:after="120" w:before="240"/>
      </w:pPr>
      <w:r>
        <w:rPr>
          <w:rFonts w:ascii="Arial" w:cs="Arial" w:eastAsia="Arial" w:hAnsi="Arial"/>
          <w:b/>
          <w:bCs/>
          <w:color w:val="1D6A96"/>
          <w:sz w:val="26"/>
          <w:szCs w:val="26"/>
        </w:rPr>
        <w:t xml:space="preserve">1.1 Protection des flux de données en transit</w:t>
      </w:r>
    </w:p>
    <w:p>
      <w:pPr>
        <w:spacing w:after="100" w:before="80"/>
        <w:jc w:val="both"/>
      </w:pPr>
      <w:r>
        <w:rPr>
          <w:rFonts w:ascii="Arial" w:cs="Arial" w:eastAsia="Arial" w:hAnsi="Arial"/>
          <w:color w:val="1A1A1A"/>
          <w:sz w:val="22"/>
          <w:szCs w:val="22"/>
        </w:rPr>
        <w:t xml:space="preserve">La sécurisation des transferts de données constitue un prérequis fondamental dans le contexte industriel d'InduTechData, où les données IoT et les données métier (ERP, CRM) ont une valeur critique.</w:t>
      </w:r>
    </w:p>
    <w:p>
      <w:pPr>
        <w:pStyle w:val="Heading3"/>
        <w:spacing w:after="80" w:before="180"/>
      </w:pPr>
      <w:r>
        <w:rPr>
          <w:rFonts w:ascii="Arial" w:cs="Arial" w:eastAsia="Arial" w:hAnsi="Arial"/>
          <w:b/>
          <w:bCs/>
          <w:color w:val="404040"/>
          <w:sz w:val="22"/>
          <w:szCs w:val="22"/>
        </w:rPr>
        <w:t xml:space="preserve">Redpanda et chiffrement en transit</w:t>
      </w:r>
    </w:p>
    <w:p>
      <w:pPr>
        <w:spacing w:after="100" w:before="80"/>
        <w:jc w:val="both"/>
      </w:pPr>
      <w:r>
        <w:rPr>
          <w:rFonts w:ascii="Arial" w:cs="Arial" w:eastAsia="Arial" w:hAnsi="Arial"/>
          <w:color w:val="1A1A1A"/>
          <w:sz w:val="22"/>
          <w:szCs w:val="22"/>
        </w:rPr>
        <w:t xml:space="preserve">Redpanda prend en charge nativement le chiffrement SSL/TLS sur tous ses endpoints clients et inter-brokers. Les flux IoT transitant depuis le SAN vers les topics Redpanda sont protégés end-to-end. Les connecteurs Kafka API (S3 Sink, Redshift Sink) héritent de cette couche TLS, garantissant que les données ne circulent jamais en clair sur le réseau.</w:t>
      </w:r>
    </w:p>
    <w:p>
      <w:pPr>
        <w:pStyle w:val="ListParagraph"/>
        <w:numPr>
          <w:ilvl w:val="0"/>
          <w:numId w:val="2"/>
        </w:numPr>
        <w:spacing w:after="60" w:before="60"/>
      </w:pPr>
      <w:r>
        <w:rPr>
          <w:rFonts w:ascii="Arial" w:cs="Arial" w:eastAsia="Arial" w:hAnsi="Arial"/>
          <w:color w:val="1A1A1A"/>
          <w:sz w:val="22"/>
          <w:szCs w:val="22"/>
        </w:rPr>
        <w:t xml:space="preserve">TLS 1.2/1.3 activé par défaut sur tous les endpoints Redpanda Cloud.</w:t>
      </w:r>
    </w:p>
    <w:p>
      <w:pPr>
        <w:pStyle w:val="ListParagraph"/>
        <w:numPr>
          <w:ilvl w:val="0"/>
          <w:numId w:val="2"/>
        </w:numPr>
        <w:spacing w:after="60" w:before="60"/>
      </w:pPr>
      <w:r>
        <w:rPr>
          <w:rFonts w:ascii="Arial" w:cs="Arial" w:eastAsia="Arial" w:hAnsi="Arial"/>
          <w:color w:val="1A1A1A"/>
          <w:sz w:val="22"/>
          <w:szCs w:val="22"/>
        </w:rPr>
        <w:t xml:space="preserve">Chiffrement au repos : SSE-KMS sur S3, chiffrement natif sur Redshift.</w:t>
      </w:r>
    </w:p>
    <w:p>
      <w:pPr>
        <w:pStyle w:val="ListParagraph"/>
        <w:numPr>
          <w:ilvl w:val="0"/>
          <w:numId w:val="2"/>
        </w:numPr>
        <w:spacing w:after="60" w:before="60"/>
      </w:pPr>
      <w:r>
        <w:rPr>
          <w:rFonts w:ascii="Arial" w:cs="Arial" w:eastAsia="Arial" w:hAnsi="Arial"/>
          <w:color w:val="1A1A1A"/>
          <w:sz w:val="22"/>
          <w:szCs w:val="22"/>
        </w:rPr>
        <w:t xml:space="preserve">Connexion on-premise vers AWS : VPN IPSec (chiffrement AES-256) ou AWS Direct Connect (liaison privée dédiée).</w:t>
      </w:r>
    </w:p>
    <w:p>
      <w:pPr>
        <w:spacing w:after="0" w:before="80"/>
      </w:pPr>
      <w:r>
        <w:t xml:space="preserve"/>
      </w:r>
    </w:p>
    <w:p>
      <w:pPr>
        <w:pStyle w:val="Heading3"/>
        <w:spacing w:after="80" w:before="180"/>
      </w:pPr>
      <w:r>
        <w:rPr>
          <w:rFonts w:ascii="Arial" w:cs="Arial" w:eastAsia="Arial" w:hAnsi="Arial"/>
          <w:b/>
          <w:bCs/>
          <w:color w:val="404040"/>
          <w:sz w:val="22"/>
          <w:szCs w:val="22"/>
        </w:rPr>
        <w:t xml:space="preserve">Avantage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6E4F0" w:val="clear"/>
            <w:tcMar>
              <w:top w:type="dxa" w:w="120"/>
              <w:left w:type="dxa" w:w="160"/>
              <w:bottom w:type="dxa" w:w="120"/>
              <w:right w:type="dxa" w:w="160"/>
            </w:tcMar>
          </w:tcPr>
          <w:p>
            <w:r>
              <w:rPr>
                <w:rFonts w:ascii="Arial" w:cs="Arial" w:eastAsia="Arial" w:hAnsi="Arial"/>
                <w:b/>
                <w:bCs/>
                <w:color w:val="1F4E79"/>
                <w:sz w:val="22"/>
                <w:szCs w:val="22"/>
              </w:rPr>
              <w:t xml:space="preserve">Point fort — Chiffrement cohérent sur toute la chaîne</w:t>
            </w:r>
          </w:p>
          <w:p>
            <w:pPr>
              <w:spacing w:before="60"/>
            </w:pPr>
            <w:r>
              <w:rPr>
                <w:rFonts w:ascii="Arial" w:cs="Arial" w:eastAsia="Arial" w:hAnsi="Arial"/>
                <w:color w:val="1A1A1A"/>
                <w:sz w:val="22"/>
                <w:szCs w:val="22"/>
              </w:rPr>
              <w:t xml:space="preserve">De la source on-premise jusqu’au data warehouse Redshift, chaque segment de la chaîne de données est couvert par un protocole de chiffrement standardisé (TLS + AES-256). Cela réduit considérablement la surface d’attaque.</w:t>
            </w:r>
          </w:p>
        </w:tc>
      </w:tr>
    </w:tbl>
    <w:p>
      <w:pPr>
        <w:spacing w:after="0" w:before="120"/>
      </w:pPr>
      <w:r>
        <w:t xml:space="preserve"/>
      </w:r>
    </w:p>
    <w:p>
      <w:pPr>
        <w:pStyle w:val="Heading3"/>
        <w:spacing w:after="80" w:before="180"/>
      </w:pPr>
      <w:r>
        <w:rPr>
          <w:rFonts w:ascii="Arial" w:cs="Arial" w:eastAsia="Arial" w:hAnsi="Arial"/>
          <w:b/>
          <w:bCs/>
          <w:color w:val="404040"/>
          <w:sz w:val="22"/>
          <w:szCs w:val="22"/>
        </w:rPr>
        <w:t xml:space="preserve">Point d'attention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FF3CD" w:val="clear"/>
            <w:tcMar>
              <w:top w:type="dxa" w:w="120"/>
              <w:left w:type="dxa" w:w="160"/>
              <w:bottom w:type="dxa" w:w="120"/>
              <w:right w:type="dxa" w:w="160"/>
            </w:tcMar>
          </w:tcPr>
          <w:p>
            <w:r>
              <w:rPr>
                <w:rFonts w:ascii="Arial" w:cs="Arial" w:eastAsia="Arial" w:hAnsi="Arial"/>
                <w:b/>
                <w:bCs/>
                <w:color w:val="7D5A00"/>
                <w:sz w:val="22"/>
                <w:szCs w:val="22"/>
              </w:rPr>
              <w:t xml:space="preserve">Vigilance — Gestion des certificats</w:t>
            </w:r>
          </w:p>
          <w:p>
            <w:pPr>
              <w:spacing w:before="60"/>
            </w:pPr>
            <w:r>
              <w:rPr>
                <w:rFonts w:ascii="Arial" w:cs="Arial" w:eastAsia="Arial" w:hAnsi="Arial"/>
                <w:color w:val="1A1A1A"/>
                <w:sz w:val="22"/>
                <w:szCs w:val="22"/>
              </w:rPr>
              <w:t xml:space="preserve">L’activation de TLS sur Redpanda Cloud nécessite une gestion rigoureuse des certificats (rotation, expiration). Il est recommandé d’utiliser AWS Certificate Manager (ACM) pour automatiser ce processus.</w:t>
            </w:r>
          </w:p>
        </w:tc>
      </w:tr>
    </w:tbl>
    <w:p>
      <w:pPr>
        <w:spacing w:after="0" w:before="120"/>
      </w:pPr>
      <w:r>
        <w:t xml:space="preserve"/>
      </w:r>
    </w:p>
    <w:p>
      <w:pPr>
        <w:pStyle w:val="Heading2"/>
        <w:spacing w:after="120" w:before="240"/>
      </w:pPr>
      <w:r>
        <w:rPr>
          <w:rFonts w:ascii="Arial" w:cs="Arial" w:eastAsia="Arial" w:hAnsi="Arial"/>
          <w:b/>
          <w:bCs/>
          <w:color w:val="1D6A96"/>
          <w:sz w:val="26"/>
          <w:szCs w:val="26"/>
        </w:rPr>
        <w:t xml:space="preserve">1.2 Gestion des identités : Active Directory et AWS</w:t>
      </w:r>
    </w:p>
    <w:p>
      <w:pPr>
        <w:spacing w:after="100" w:before="80"/>
        <w:jc w:val="both"/>
      </w:pPr>
      <w:r>
        <w:rPr>
          <w:rFonts w:ascii="Arial" w:cs="Arial" w:eastAsia="Arial" w:hAnsi="Arial"/>
          <w:color w:val="1A1A1A"/>
          <w:sz w:val="22"/>
          <w:szCs w:val="22"/>
        </w:rPr>
        <w:t xml:space="preserve">InduTechData dispose d'un Active Directory (AD) on-premise qui centralise l'authentification de l'ensemble des utilisateurs. L'extension de cette gestion au cloud est un point critique pour assurer une expérience unifiée et sécurisée.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Composant</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Rôle dans la gestion des identités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Active Directory (on-premise)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Source d'autorité principale : comptes utilisateurs, groupes, politiques (GPO)</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AWS Directory Service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Extension AD dans le cloud via AWS Managed Microsoft AD. Synchronisation bidirectionnelle.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AWS IAM</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Contrôle d'accès granulaire sur tous les services AWS (S3, Redshift, EMR, DMS)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SSO (optionnel)</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AWS IAM Identity Center pour authentification unique (Single Sign-On) sur la console AWS</w:t>
            </w:r>
          </w:p>
        </w:tc>
      </w:tr>
    </w:tbl>
    <w:p>
      <w:pPr>
        <w:spacing w:after="0" w:before="120"/>
      </w:pPr>
      <w:r>
        <w:t xml:space="preserve"/>
      </w:r>
    </w:p>
    <w:p>
      <w:pPr>
        <w:spacing w:after="100" w:before="80"/>
        <w:jc w:val="both"/>
      </w:pPr>
      <w:r>
        <w:rPr>
          <w:rFonts w:ascii="Arial" w:cs="Arial" w:eastAsia="Arial" w:hAnsi="Arial"/>
          <w:color w:val="1A1A1A"/>
          <w:sz w:val="22"/>
          <w:szCs w:val="22"/>
        </w:rPr>
        <w:t xml:space="preserve">AWS Directory Service crée une relation de confiance (trust relationship) avec l'AD on-premise, permettant aux utilisateurs de s'authentifier sur les services AWS avec leurs identifiants d'entreprise. La gestion des accès reste centralisée dans l'AD, sans créer de comptes dupliqués dans le cloud.</w:t>
      </w:r>
    </w:p>
    <w:p>
      <w:pPr>
        <w:pStyle w:val="ListParagraph"/>
        <w:numPr>
          <w:ilvl w:val="0"/>
          <w:numId w:val="2"/>
        </w:numPr>
        <w:spacing w:after="60" w:before="60"/>
      </w:pPr>
      <w:r>
        <w:rPr>
          <w:rFonts w:ascii="Arial" w:cs="Arial" w:eastAsia="Arial" w:hAnsi="Arial"/>
          <w:color w:val="1A1A1A"/>
          <w:sz w:val="22"/>
          <w:szCs w:val="22"/>
        </w:rPr>
        <w:t xml:space="preserve">Avantage : gestion unifiée, un seul annuaire de référence, pas de double saisie de credentials.</w:t>
      </w:r>
    </w:p>
    <w:p>
      <w:pPr>
        <w:pStyle w:val="ListParagraph"/>
        <w:numPr>
          <w:ilvl w:val="0"/>
          <w:numId w:val="2"/>
        </w:numPr>
        <w:spacing w:after="60" w:before="60"/>
      </w:pPr>
      <w:r>
        <w:rPr>
          <w:rFonts w:ascii="Arial" w:cs="Arial" w:eastAsia="Arial" w:hAnsi="Arial"/>
          <w:color w:val="1A1A1A"/>
          <w:sz w:val="22"/>
          <w:szCs w:val="22"/>
        </w:rPr>
        <w:t xml:space="preserve">Limitation : la synchronisation AD ↔ AWS Directory Service introduit une légère latence (quelques secondes) en cas de changement d'accès.</w:t>
      </w:r>
    </w:p>
    <w:p>
      <w:pPr>
        <w:pStyle w:val="ListParagraph"/>
        <w:numPr>
          <w:ilvl w:val="0"/>
          <w:numId w:val="2"/>
        </w:numPr>
        <w:spacing w:after="60" w:before="60"/>
      </w:pPr>
      <w:r>
        <w:rPr>
          <w:rFonts w:ascii="Arial" w:cs="Arial" w:eastAsia="Arial" w:hAnsi="Arial"/>
          <w:color w:val="1A1A1A"/>
          <w:sz w:val="22"/>
          <w:szCs w:val="22"/>
        </w:rPr>
        <w:t xml:space="preserve">Point d'attention : le coût d'AWS Directory Service (deux contrôleurs de domaine minimum) est non négligeable — environ 80 à 120 €/mois.</w:t>
      </w:r>
    </w:p>
    <w:p>
      <w:pPr>
        <w:spacing w:after="0" w:before="120"/>
      </w:pPr>
      <w:r>
        <w:t xml:space="preserve"/>
      </w:r>
    </w:p>
    <w:p>
      <w:pPr>
        <w:pStyle w:val="Heading1"/>
        <w:pBdr>
          <w:bottom w:val="single" w:color="2E75B6" w:sz="6" w:space="4"/>
        </w:pBdr>
        <w:spacing w:after="160" w:before="320"/>
      </w:pPr>
      <w:r>
        <w:rPr>
          <w:rFonts w:ascii="Arial" w:cs="Arial" w:eastAsia="Arial" w:hAnsi="Arial"/>
          <w:b/>
          <w:bCs/>
          <w:color w:val="1F4E79"/>
          <w:sz w:val="32"/>
          <w:szCs w:val="32"/>
        </w:rPr>
        <w:t xml:space="preserve">2. Interopérabilité</w:t>
      </w:r>
    </w:p>
    <w:p>
      <w:pPr>
        <w:pStyle w:val="Heading2"/>
        <w:spacing w:after="120" w:before="240"/>
      </w:pPr>
      <w:r>
        <w:rPr>
          <w:rFonts w:ascii="Arial" w:cs="Arial" w:eastAsia="Arial" w:hAnsi="Arial"/>
          <w:b/>
          <w:bCs/>
          <w:color w:val="1D6A96"/>
          <w:sz w:val="26"/>
          <w:szCs w:val="26"/>
        </w:rPr>
        <w:t xml:space="preserve">2.1 Intégration de Redpanda avec le SI on-premise</w:t>
      </w:r>
    </w:p>
    <w:p>
      <w:pPr>
        <w:spacing w:after="100" w:before="80"/>
        <w:jc w:val="both"/>
      </w:pPr>
      <w:r>
        <w:rPr>
          <w:rFonts w:ascii="Arial" w:cs="Arial" w:eastAsia="Arial" w:hAnsi="Arial"/>
          <w:color w:val="1A1A1A"/>
          <w:sz w:val="22"/>
          <w:szCs w:val="22"/>
        </w:rPr>
        <w:t xml:space="preserve">L'un des enjeux majeurs de cette architecture est la capacité de Redpanda à dialoguer avec les systèmes existants d'InduTechData (SQL Server, SAN, capteurs IoT) sans imposer une refonte applicative complète.</w:t>
      </w:r>
    </w:p>
    <w:p>
      <w:pPr>
        <w:pStyle w:val="Heading3"/>
        <w:spacing w:after="80" w:before="180"/>
      </w:pPr>
      <w:r>
        <w:rPr>
          <w:rFonts w:ascii="Arial" w:cs="Arial" w:eastAsia="Arial" w:hAnsi="Arial"/>
          <w:b/>
          <w:bCs/>
          <w:color w:val="404040"/>
          <w:sz w:val="22"/>
          <w:szCs w:val="22"/>
        </w:rPr>
        <w:t xml:space="preserve">Intégration avec SQL Server</w:t>
      </w:r>
    </w:p>
    <w:p>
      <w:pPr>
        <w:spacing w:after="100" w:before="80"/>
        <w:jc w:val="both"/>
      </w:pPr>
      <w:r>
        <w:rPr>
          <w:rFonts w:ascii="Arial" w:cs="Arial" w:eastAsia="Arial" w:hAnsi="Arial"/>
          <w:color w:val="1A1A1A"/>
          <w:sz w:val="22"/>
          <w:szCs w:val="22"/>
        </w:rPr>
        <w:t xml:space="preserve">Redpanda expose une API 100 % compatible Kafka. Cela signifie que tous les connecteurs Kafka existants fonctionnent nativement avec Redpanda, dont le Kafka JDBC Source Connector qui permet de capturer les modifications de SQL Server en temps quasi-réel via le mécanisme de Change Data Capture (CDC). En complément, AWS DMS assure la migration initiale des 40 To de données et la réplication continue vers Redshift et S3.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Système source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Mécanisme d'intégration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SQL Server (ERP/CRM)</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AWS DMS (CDC) + Kafka JDBC Source Connector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SAN (logs, IoT)</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Redpanda ingère directement les flux via Kafka API (protocole TCP)</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Capteurs IoT</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Protocoles MQTT ou HTTP convertis en messages Kafka par un broker edge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Active Directory</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AWS Directory Service (trust relationship + synchronisation LDAP)</w:t>
            </w:r>
          </w:p>
        </w:tc>
      </w:tr>
    </w:tbl>
    <w:p>
      <w:pPr>
        <w:spacing w:after="0" w:before="120"/>
      </w:pPr>
      <w:r>
        <w:t xml:space="preserve"/>
      </w:r>
    </w:p>
    <w:p>
      <w:pPr>
        <w:pStyle w:val="Heading3"/>
        <w:spacing w:after="80" w:before="180"/>
      </w:pPr>
      <w:r>
        <w:rPr>
          <w:rFonts w:ascii="Arial" w:cs="Arial" w:eastAsia="Arial" w:hAnsi="Arial"/>
          <w:b/>
          <w:bCs/>
          <w:color w:val="404040"/>
          <w:sz w:val="22"/>
          <w:szCs w:val="22"/>
        </w:rPr>
        <w:t xml:space="preserve">Automatisation des flux de données</w:t>
      </w:r>
    </w:p>
    <w:p>
      <w:pPr>
        <w:spacing w:after="100" w:before="80"/>
        <w:jc w:val="both"/>
      </w:pPr>
      <w:r>
        <w:rPr>
          <w:rFonts w:ascii="Arial" w:cs="Arial" w:eastAsia="Arial" w:hAnsi="Arial"/>
          <w:color w:val="1A1A1A"/>
          <w:sz w:val="22"/>
          <w:szCs w:val="22"/>
        </w:rPr>
        <w:t xml:space="preserve">L'architecture proposée permet une automatisation complète des flux de données, sans intervention manuelle :</w:t>
      </w:r>
    </w:p>
    <w:p>
      <w:pPr>
        <w:pStyle w:val="ListParagraph"/>
        <w:numPr>
          <w:ilvl w:val="0"/>
          <w:numId w:val="2"/>
        </w:numPr>
        <w:spacing w:after="60" w:before="60"/>
      </w:pPr>
      <w:r>
        <w:rPr>
          <w:rFonts w:ascii="Arial" w:cs="Arial" w:eastAsia="Arial" w:hAnsi="Arial"/>
          <w:color w:val="1A1A1A"/>
          <w:sz w:val="22"/>
          <w:szCs w:val="22"/>
        </w:rPr>
        <w:t xml:space="preserve">Flux temps réel (IoT, logs) : automatisés en continu via les topics Redpanda et les connecteurs Sink vers S3 et Redshift.</w:t>
      </w:r>
    </w:p>
    <w:p>
      <w:pPr>
        <w:pStyle w:val="ListParagraph"/>
        <w:numPr>
          <w:ilvl w:val="0"/>
          <w:numId w:val="2"/>
        </w:numPr>
        <w:spacing w:after="60" w:before="60"/>
      </w:pPr>
      <w:r>
        <w:rPr>
          <w:rFonts w:ascii="Arial" w:cs="Arial" w:eastAsia="Arial" w:hAnsi="Arial"/>
          <w:color w:val="1A1A1A"/>
          <w:sz w:val="22"/>
          <w:szCs w:val="22"/>
        </w:rPr>
        <w:t xml:space="preserve">Flux batch (SQL Server → Redshift) : planifiés via AWS DMS avec des fenêtres de réplication configurables.</w:t>
      </w:r>
    </w:p>
    <w:p>
      <w:pPr>
        <w:pStyle w:val="ListParagraph"/>
        <w:numPr>
          <w:ilvl w:val="0"/>
          <w:numId w:val="2"/>
        </w:numPr>
        <w:spacing w:after="60" w:before="60"/>
      </w:pPr>
      <w:r>
        <w:rPr>
          <w:rFonts w:ascii="Arial" w:cs="Arial" w:eastAsia="Arial" w:hAnsi="Arial"/>
          <w:color w:val="1A1A1A"/>
          <w:sz w:val="22"/>
          <w:szCs w:val="22"/>
        </w:rPr>
        <w:t xml:space="preserve">Orchestration : AWS Step Functions ou Apache Airflow (sur EC2) peuvent être ajoutés pour orchestrer les pipelines complexes et gérer les dépendances entre traitements.</w:t>
      </w:r>
    </w:p>
    <w:p>
      <w:pPr>
        <w:pStyle w:val="ListParagraph"/>
        <w:numPr>
          <w:ilvl w:val="0"/>
          <w:numId w:val="2"/>
        </w:numPr>
        <w:spacing w:after="60" w:before="60"/>
      </w:pPr>
      <w:r>
        <w:rPr>
          <w:rFonts w:ascii="Arial" w:cs="Arial" w:eastAsia="Arial" w:hAnsi="Arial"/>
          <w:color w:val="1A1A1A"/>
          <w:sz w:val="22"/>
          <w:szCs w:val="22"/>
        </w:rPr>
        <w:t xml:space="preserve">Surveillance : Amazon CloudWatch surveille les métriques Redpanda, EMR, et DMS avec alertes automatiques en cas d'anomalie.</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6E4F0" w:val="clear"/>
            <w:tcMar>
              <w:top w:type="dxa" w:w="120"/>
              <w:left w:type="dxa" w:w="160"/>
              <w:bottom w:type="dxa" w:w="120"/>
              <w:right w:type="dxa" w:w="160"/>
            </w:tcMar>
          </w:tcPr>
          <w:p>
            <w:r>
              <w:rPr>
                <w:rFonts w:ascii="Arial" w:cs="Arial" w:eastAsia="Arial" w:hAnsi="Arial"/>
                <w:b/>
                <w:bCs/>
                <w:color w:val="1F4E79"/>
                <w:sz w:val="22"/>
                <w:szCs w:val="22"/>
              </w:rPr>
              <w:t xml:space="preserve">Avantage — Compatibilité Kafka = zéro recodage</w:t>
            </w:r>
          </w:p>
          <w:p>
            <w:pPr>
              <w:spacing w:before="60"/>
            </w:pPr>
            <w:r>
              <w:rPr>
                <w:rFonts w:ascii="Arial" w:cs="Arial" w:eastAsia="Arial" w:hAnsi="Arial"/>
                <w:color w:val="1A1A1A"/>
                <w:sz w:val="22"/>
                <w:szCs w:val="22"/>
              </w:rPr>
              <w:t xml:space="preserve">Grâce à la compatibilité totale de Redpanda avec l’API Kafka, InduTechData peut réutiliser tous ses connecteurs et clients Kafka existants. Aucune migration de code applicatif n’est nécessaire : seule la configuration des brokers change.</w:t>
            </w:r>
          </w:p>
        </w:tc>
      </w:tr>
    </w:tbl>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FE5E5" w:val="clear"/>
            <w:tcMar>
              <w:top w:type="dxa" w:w="120"/>
              <w:left w:type="dxa" w:w="160"/>
              <w:bottom w:type="dxa" w:w="120"/>
              <w:right w:type="dxa" w:w="160"/>
            </w:tcMar>
          </w:tcPr>
          <w:p>
            <w:r>
              <w:rPr>
                <w:rFonts w:ascii="Arial" w:cs="Arial" w:eastAsia="Arial" w:hAnsi="Arial"/>
                <w:b/>
                <w:bCs/>
                <w:color w:val="8B0000"/>
                <w:sz w:val="22"/>
                <w:szCs w:val="22"/>
              </w:rPr>
              <w:t xml:space="preserve">Limitation — Dépendance réseau critique</w:t>
            </w:r>
          </w:p>
          <w:p>
            <w:pPr>
              <w:spacing w:before="60"/>
            </w:pPr>
            <w:r>
              <w:rPr>
                <w:rFonts w:ascii="Arial" w:cs="Arial" w:eastAsia="Arial" w:hAnsi="Arial"/>
                <w:color w:val="1A1A1A"/>
                <w:sz w:val="22"/>
                <w:szCs w:val="22"/>
              </w:rPr>
              <w:t xml:space="preserve">L’ensemble des flux temps réel dépend de la qualité de la connexion VPN/Direct Connect entre le datacenter et AWS. Une coupure réseau interromprait l’ingestion IoT. Il est recommandé de prévoir un buffer local (ex. Redpanda en mode local sur un serveur edge) pour assurer la résilience.</w:t>
            </w:r>
          </w:p>
        </w:tc>
      </w:tr>
    </w:tbl>
    <w:p>
      <w:pPr>
        <w:spacing w:after="0" w:before="120"/>
      </w:pPr>
      <w:r>
        <w:t xml:space="preserve"/>
      </w:r>
    </w:p>
    <w:p>
      <w:pPr>
        <w:pStyle w:val="Heading1"/>
        <w:pBdr>
          <w:bottom w:val="single" w:color="2E75B6" w:sz="6" w:space="4"/>
        </w:pBdr>
        <w:spacing w:after="160" w:before="320"/>
      </w:pPr>
      <w:r>
        <w:rPr>
          <w:rFonts w:ascii="Arial" w:cs="Arial" w:eastAsia="Arial" w:hAnsi="Arial"/>
          <w:b/>
          <w:bCs/>
          <w:color w:val="1F4E79"/>
          <w:sz w:val="32"/>
          <w:szCs w:val="32"/>
        </w:rPr>
        <w:t xml:space="preserve">3. Scalabilité et gestion des coûts</w:t>
      </w:r>
    </w:p>
    <w:p>
      <w:pPr>
        <w:pStyle w:val="Heading2"/>
        <w:spacing w:after="120" w:before="240"/>
      </w:pPr>
      <w:r>
        <w:rPr>
          <w:rFonts w:ascii="Arial" w:cs="Arial" w:eastAsia="Arial" w:hAnsi="Arial"/>
          <w:b/>
          <w:bCs/>
          <w:color w:val="1D6A96"/>
          <w:sz w:val="26"/>
          <w:szCs w:val="26"/>
        </w:rPr>
        <w:t xml:space="preserve">3.1 Réponse aux besoins de croissance</w:t>
      </w:r>
    </w:p>
    <w:p>
      <w:pPr>
        <w:spacing w:after="100" w:before="80"/>
        <w:jc w:val="both"/>
      </w:pPr>
      <w:r>
        <w:rPr>
          <w:rFonts w:ascii="Arial" w:cs="Arial" w:eastAsia="Arial" w:hAnsi="Arial"/>
          <w:color w:val="1A1A1A"/>
          <w:sz w:val="22"/>
          <w:szCs w:val="22"/>
        </w:rPr>
        <w:t xml:space="preserve">Avec une croissance de +50 Go/mois de données IoT, InduTechData a besoin d'une architecture capable de scaler horizontalement sans intervention lourde.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Composant</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Mécanisme de scalabilité</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Redpanda</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Ajout de brokers sans interruption de service. Auto-scaling sur Redpanda Cloud.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Amazon S3</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Scalabilité illimitée et native. Aucune configuration nécessaire.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AWS EMR (Spark)</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Ajout de workers EC2 à la demande. Spot instances pour réduire les coûts.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Amazon Redshift</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Redshift Serverless ou ajout de nœuds. Concurrency Scaling pour les pics de requêtes.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AWS DMS</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Mise à l'échelle de l'instance de réplication selon le volume de CDC.</w:t>
            </w:r>
          </w:p>
        </w:tc>
      </w:tr>
    </w:tbl>
    <w:p>
      <w:pPr>
        <w:spacing w:after="0" w:before="120"/>
      </w:pPr>
      <w:r>
        <w:t xml:space="preserve"/>
      </w:r>
    </w:p>
    <w:p>
      <w:pPr>
        <w:spacing w:after="100" w:before="80"/>
        <w:jc w:val="both"/>
      </w:pPr>
      <w:r>
        <w:rPr>
          <w:rFonts w:ascii="Arial" w:cs="Arial" w:eastAsia="Arial" w:hAnsi="Arial"/>
          <w:color w:val="1A1A1A"/>
          <w:sz w:val="22"/>
          <w:szCs w:val="22"/>
        </w:rPr>
        <w:t xml:space="preserve">À horizon 2 ans, avec +1,2 To de nouvelles données IoT par an, S3 absorbera la croissance sans changement d'architecture. Redshift peut passer d'un nœud dc2.large à une configuration multi-nœuds lorsque les volumes analytiques l'exigent.</w:t>
      </w:r>
    </w:p>
    <w:p>
      <w:pPr>
        <w:spacing w:after="0" w:before="120"/>
      </w:pPr>
      <w:r>
        <w:t xml:space="preserve"/>
      </w:r>
    </w:p>
    <w:p>
      <w:pPr>
        <w:pStyle w:val="Heading2"/>
        <w:spacing w:after="120" w:before="240"/>
      </w:pPr>
      <w:r>
        <w:rPr>
          <w:rFonts w:ascii="Arial" w:cs="Arial" w:eastAsia="Arial" w:hAnsi="Arial"/>
          <w:b/>
          <w:bCs/>
          <w:color w:val="1D6A96"/>
          <w:sz w:val="26"/>
          <w:szCs w:val="26"/>
        </w:rPr>
        <w:t xml:space="preserve">3.2 Surveillance et maîtrise des coûts</w:t>
      </w:r>
    </w:p>
    <w:p>
      <w:pPr>
        <w:spacing w:after="100" w:before="80"/>
        <w:jc w:val="both"/>
      </w:pPr>
      <w:r>
        <w:rPr>
          <w:rFonts w:ascii="Arial" w:cs="Arial" w:eastAsia="Arial" w:hAnsi="Arial"/>
          <w:color w:val="1A1A1A"/>
          <w:sz w:val="22"/>
          <w:szCs w:val="22"/>
        </w:rPr>
        <w:t xml:space="preserve">La gestion proactive des coûts cloud est essentielle pour éviter les dérives budgétaires, particulièrement avec des services comme EMR dont la facturation est à l'heure.</w:t>
      </w:r>
    </w:p>
    <w:p>
      <w:pPr>
        <w:pStyle w:val="Heading3"/>
        <w:spacing w:after="80" w:before="180"/>
      </w:pPr>
      <w:r>
        <w:rPr>
          <w:rFonts w:ascii="Arial" w:cs="Arial" w:eastAsia="Arial" w:hAnsi="Arial"/>
          <w:b/>
          <w:bCs/>
          <w:color w:val="404040"/>
          <w:sz w:val="22"/>
          <w:szCs w:val="22"/>
        </w:rPr>
        <w:t xml:space="preserve">Outils recommandés</w:t>
      </w:r>
    </w:p>
    <w:p>
      <w:pPr>
        <w:pStyle w:val="ListParagraph"/>
        <w:numPr>
          <w:ilvl w:val="0"/>
          <w:numId w:val="2"/>
        </w:numPr>
        <w:spacing w:after="60" w:before="60"/>
      </w:pPr>
      <w:r>
        <w:rPr>
          <w:rFonts w:ascii="Arial" w:cs="Arial" w:eastAsia="Arial" w:hAnsi="Arial"/>
          <w:color w:val="1A1A1A"/>
          <w:sz w:val="22"/>
          <w:szCs w:val="22"/>
        </w:rPr>
        <w:t xml:space="preserve">Amazon CloudWatch : surveillance en temps réel des métriques (CPU EMR, latence Redpanda, requêtes Redshift). Configuration d'alarmes automatiques par seuil.</w:t>
      </w:r>
    </w:p>
    <w:p>
      <w:pPr>
        <w:pStyle w:val="ListParagraph"/>
        <w:numPr>
          <w:ilvl w:val="0"/>
          <w:numId w:val="2"/>
        </w:numPr>
        <w:spacing w:after="60" w:before="60"/>
      </w:pPr>
      <w:r>
        <w:rPr>
          <w:rFonts w:ascii="Arial" w:cs="Arial" w:eastAsia="Arial" w:hAnsi="Arial"/>
          <w:color w:val="1A1A1A"/>
          <w:sz w:val="22"/>
          <w:szCs w:val="22"/>
        </w:rPr>
        <w:t xml:space="preserve">AWS Budgets : définir un budget mensuel avec alertes email/SMS à 80 % et 100 % du seuil. Recommandation : budget initial de 1 800 €/mois.</w:t>
      </w:r>
    </w:p>
    <w:p>
      <w:pPr>
        <w:pStyle w:val="ListParagraph"/>
        <w:numPr>
          <w:ilvl w:val="0"/>
          <w:numId w:val="2"/>
        </w:numPr>
        <w:spacing w:after="60" w:before="60"/>
      </w:pPr>
      <w:r>
        <w:rPr>
          <w:rFonts w:ascii="Arial" w:cs="Arial" w:eastAsia="Arial" w:hAnsi="Arial"/>
          <w:color w:val="1A1A1A"/>
          <w:sz w:val="22"/>
          <w:szCs w:val="22"/>
        </w:rPr>
        <w:t xml:space="preserve">AWS Cost Explorer : analyse détaillée des coûts par service, par tag, et par période. Indispensable pour identifier les postes de dépenses imprévus.</w:t>
      </w:r>
    </w:p>
    <w:p>
      <w:pPr>
        <w:pStyle w:val="ListParagraph"/>
        <w:numPr>
          <w:ilvl w:val="0"/>
          <w:numId w:val="2"/>
        </w:numPr>
        <w:spacing w:after="60" w:before="60"/>
      </w:pPr>
      <w:r>
        <w:rPr>
          <w:rFonts w:ascii="Arial" w:cs="Arial" w:eastAsia="Arial" w:hAnsi="Arial"/>
          <w:color w:val="1A1A1A"/>
          <w:sz w:val="22"/>
          <w:szCs w:val="22"/>
        </w:rPr>
        <w:t xml:space="preserve">Tagging des ressources : appliquer des tags (projet, environnement, équipe) sur toutes les ressources AWS pour ventiler les coûts par usage.</w:t>
      </w:r>
    </w:p>
    <w:p>
      <w:pPr>
        <w:pStyle w:val="ListParagraph"/>
        <w:numPr>
          <w:ilvl w:val="0"/>
          <w:numId w:val="2"/>
        </w:numPr>
        <w:spacing w:after="60" w:before="60"/>
      </w:pPr>
      <w:r>
        <w:rPr>
          <w:rFonts w:ascii="Arial" w:cs="Arial" w:eastAsia="Arial" w:hAnsi="Arial"/>
          <w:color w:val="1A1A1A"/>
          <w:sz w:val="22"/>
          <w:szCs w:val="22"/>
        </w:rPr>
        <w:t xml:space="preserve">Spot Instances pour EMR : utiliser des instances Spot pour les traitements batch Spark — économie potentielle de 60 à 70 % sur le coût EMR.</w:t>
      </w:r>
    </w:p>
    <w:p>
      <w:pPr>
        <w:spacing w:after="0" w:before="120"/>
      </w:pPr>
      <w:r>
        <w:t xml:space="preserve"/>
      </w:r>
    </w:p>
    <w:p>
      <w:pPr>
        <w:pStyle w:val="Heading2"/>
        <w:spacing w:after="120" w:before="240"/>
      </w:pPr>
      <w:r>
        <w:rPr>
          <w:rFonts w:ascii="Arial" w:cs="Arial" w:eastAsia="Arial" w:hAnsi="Arial"/>
          <w:b/>
          <w:bCs/>
          <w:color w:val="1D6A96"/>
          <w:sz w:val="26"/>
          <w:szCs w:val="26"/>
        </w:rPr>
        <w:t xml:space="preserve">3.3 Estimation des coûts</w:t>
      </w:r>
    </w:p>
    <w:p>
      <w:pPr>
        <w:spacing w:after="100" w:before="80"/>
        <w:jc w:val="both"/>
      </w:pPr>
      <w:r>
        <w:rPr>
          <w:rFonts w:ascii="Arial" w:cs="Arial" w:eastAsia="Arial" w:hAnsi="Arial"/>
          <w:color w:val="1A1A1A"/>
          <w:sz w:val="22"/>
          <w:szCs w:val="22"/>
        </w:rPr>
        <w:t xml:space="preserve">Le tableau ci-dessous présente une estimation des coûts récurrents mensuels basée sur les volumes actuels d'InduTechData (+50 Go/mois IoT, 40 To SQL Server). Ces estimations sont indicatives et doivent être affinées via l'AWS Pricing Calculator.</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900"/>
        <w:gridCol w:w="3726"/>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Composant</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 de coût</w:t>
            </w:r>
          </w:p>
        </w:tc>
        <w:tc>
          <w:tcPr>
            <w:tcW w:type="dxa" w:w="1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Estimation mensuelle</w:t>
            </w:r>
          </w:p>
        </w:tc>
        <w:tc>
          <w:tcPr>
            <w:tcW w:type="dxa" w:w="37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Redpanda Cloud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Récurrent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~120 – 300 €</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Selon volume de messages et partitions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Amazon S3</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Récurrent</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~15 – 40 €</w:t>
            </w:r>
          </w:p>
        </w:tc>
        <w:tc>
          <w:tcPr>
            <w:tcW w:type="dxa" w:w="3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50 Go initial + 50 Go/mois · stockage Parquet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AWS EMR (Spark)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Récurrent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~200 – 500 €</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Cluster 2-4 nœuds · usage selon charge batch/streaming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Amazon Redshift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Récurrent</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~180 – 350 €</w:t>
            </w:r>
          </w:p>
        </w:tc>
        <w:tc>
          <w:tcPr>
            <w:tcW w:type="dxa" w:w="3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Nœud dc2.large · montée possible en dc2.8xlarge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AWS DMS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Récurrent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~50 – 100 €</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Instance t3.medium + données répliquées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AWS Directory Service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Récurrent</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~80 – 120 €</w:t>
            </w:r>
          </w:p>
        </w:tc>
        <w:tc>
          <w:tcPr>
            <w:tcW w:type="dxa" w:w="3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2 contrôleurs de domaine (haute dispo)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VPN / Direct Connect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Mixte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~50 – 200 €</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VPN : ~50€ · Direct Connect : plus onéreux mais stable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CloudWatch / Budgets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Récurrent</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~10 – 30 €</w:t>
            </w:r>
          </w:p>
        </w:tc>
        <w:tc>
          <w:tcPr>
            <w:tcW w:type="dxa" w:w="3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Métriques, alertes, dashboards</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TOTAL ESTIMÉ</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Récurrent</w:t>
            </w:r>
          </w:p>
        </w:tc>
        <w:tc>
          <w:tcPr>
            <w:tcW w:type="dxa" w:w="1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~700 – 1 640 €/mois</w:t>
            </w:r>
          </w:p>
        </w:tc>
        <w:tc>
          <w:tcPr>
            <w:tcW w:type="dxa" w:w="37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Hors migration initiale et formation</w:t>
            </w:r>
          </w:p>
        </w:tc>
      </w:tr>
    </w:tbl>
    <w:p>
      <w:pPr>
        <w:spacing w:after="0" w:before="120"/>
      </w:pPr>
      <w:r>
        <w:t xml:space="preserve"/>
      </w:r>
    </w:p>
    <w:p>
      <w:pPr>
        <w:spacing w:after="100" w:before="80"/>
        <w:jc w:val="both"/>
      </w:pPr>
      <w:r>
        <w:rPr>
          <w:rFonts w:ascii="Arial" w:cs="Arial" w:eastAsia="Arial" w:hAnsi="Arial"/>
          <w:i/>
          <w:iCs/>
          <w:color w:val="555555"/>
          <w:sz w:val="22"/>
          <w:szCs w:val="22"/>
        </w:rPr>
        <w:t xml:space="preserve">Coûts initiaux (one-time) : la migration initiale des 40 To via AWS DMS représente un coût unique estimé entre 200 et 500 € selon la durée. La formation des équipes (AWS, Redpanda) est à prévoir en supplément.</w:t>
      </w:r>
    </w:p>
    <w:p>
      <w:pPr>
        <w:spacing w:after="0" w:before="120"/>
      </w:pPr>
      <w:r>
        <w:t xml:space="preserve"/>
      </w:r>
    </w:p>
    <w:p>
      <w:pPr>
        <w:pStyle w:val="Heading1"/>
        <w:pBdr>
          <w:bottom w:val="single" w:color="2E75B6" w:sz="6" w:space="4"/>
        </w:pBdr>
        <w:spacing w:after="160" w:before="320"/>
      </w:pPr>
      <w:r>
        <w:rPr>
          <w:rFonts w:ascii="Arial" w:cs="Arial" w:eastAsia="Arial" w:hAnsi="Arial"/>
          <w:b/>
          <w:bCs/>
          <w:color w:val="1F4E79"/>
          <w:sz w:val="32"/>
          <w:szCs w:val="32"/>
        </w:rPr>
        <w:t xml:space="preserve">4. Synthèse et recommandations</w:t>
      </w:r>
    </w:p>
    <w:p>
      <w:pPr>
        <w:pStyle w:val="Heading2"/>
        <w:spacing w:after="120" w:before="240"/>
      </w:pPr>
      <w:r>
        <w:rPr>
          <w:rFonts w:ascii="Arial" w:cs="Arial" w:eastAsia="Arial" w:hAnsi="Arial"/>
          <w:b/>
          <w:bCs/>
          <w:color w:val="1D6A96"/>
          <w:sz w:val="26"/>
          <w:szCs w:val="26"/>
        </w:rPr>
        <w:t xml:space="preserve">4.1 Avantages de l'architecture proposée</w:t>
      </w:r>
    </w:p>
    <w:p>
      <w:pPr>
        <w:pStyle w:val="ListParagraph"/>
        <w:numPr>
          <w:ilvl w:val="0"/>
          <w:numId w:val="2"/>
        </w:numPr>
        <w:spacing w:after="60" w:before="60"/>
      </w:pPr>
      <w:r>
        <w:rPr>
          <w:rFonts w:ascii="Arial" w:cs="Arial" w:eastAsia="Arial" w:hAnsi="Arial"/>
          <w:color w:val="1A1A1A"/>
          <w:sz w:val="22"/>
          <w:szCs w:val="22"/>
        </w:rPr>
        <w:t xml:space="preserve">Compatibilité totale avec l'existant via l'API Kafka de Redpanda — pas de refonte applicative.</w:t>
      </w:r>
    </w:p>
    <w:p>
      <w:pPr>
        <w:pStyle w:val="ListParagraph"/>
        <w:numPr>
          <w:ilvl w:val="0"/>
          <w:numId w:val="2"/>
        </w:numPr>
        <w:spacing w:after="60" w:before="60"/>
      </w:pPr>
      <w:r>
        <w:rPr>
          <w:rFonts w:ascii="Arial" w:cs="Arial" w:eastAsia="Arial" w:hAnsi="Arial"/>
          <w:color w:val="1A1A1A"/>
          <w:sz w:val="22"/>
          <w:szCs w:val="22"/>
        </w:rPr>
        <w:t xml:space="preserve">Gestion des identités unifiée grâce à la synchronisation Active Directory ↔ AWS Directory Service.</w:t>
      </w:r>
    </w:p>
    <w:p>
      <w:pPr>
        <w:pStyle w:val="ListParagraph"/>
        <w:numPr>
          <w:ilvl w:val="0"/>
          <w:numId w:val="2"/>
        </w:numPr>
        <w:spacing w:after="60" w:before="60"/>
      </w:pPr>
      <w:r>
        <w:rPr>
          <w:rFonts w:ascii="Arial" w:cs="Arial" w:eastAsia="Arial" w:hAnsi="Arial"/>
          <w:color w:val="1A1A1A"/>
          <w:sz w:val="22"/>
          <w:szCs w:val="22"/>
        </w:rPr>
        <w:t xml:space="preserve">Chiffrement end-to-end cohérent sur toute la chaîne (TLS en transit, SSE-KMS au repos).</w:t>
      </w:r>
    </w:p>
    <w:p>
      <w:pPr>
        <w:pStyle w:val="ListParagraph"/>
        <w:numPr>
          <w:ilvl w:val="0"/>
          <w:numId w:val="2"/>
        </w:numPr>
        <w:spacing w:after="60" w:before="60"/>
      </w:pPr>
      <w:r>
        <w:rPr>
          <w:rFonts w:ascii="Arial" w:cs="Arial" w:eastAsia="Arial" w:hAnsi="Arial"/>
          <w:color w:val="1A1A1A"/>
          <w:sz w:val="22"/>
          <w:szCs w:val="22"/>
        </w:rPr>
        <w:t xml:space="preserve">Scalabilité native de S3 et Redshift face à la croissance des données IoT (+50 Go/mois).</w:t>
      </w:r>
    </w:p>
    <w:p>
      <w:pPr>
        <w:pStyle w:val="ListParagraph"/>
        <w:numPr>
          <w:ilvl w:val="0"/>
          <w:numId w:val="2"/>
        </w:numPr>
        <w:spacing w:after="60" w:before="60"/>
      </w:pPr>
      <w:r>
        <w:rPr>
          <w:rFonts w:ascii="Arial" w:cs="Arial" w:eastAsia="Arial" w:hAnsi="Arial"/>
          <w:color w:val="1A1A1A"/>
          <w:sz w:val="22"/>
          <w:szCs w:val="22"/>
        </w:rPr>
        <w:t xml:space="preserve">Automatisation complète des flux (temps réel et batch) sans intervention manuelle.</w:t>
      </w:r>
    </w:p>
    <w:p>
      <w:pPr>
        <w:spacing w:after="0" w:before="120"/>
      </w:pPr>
      <w:r>
        <w:t xml:space="preserve"/>
      </w:r>
    </w:p>
    <w:p>
      <w:pPr>
        <w:pStyle w:val="Heading2"/>
        <w:spacing w:after="120" w:before="240"/>
      </w:pPr>
      <w:r>
        <w:rPr>
          <w:rFonts w:ascii="Arial" w:cs="Arial" w:eastAsia="Arial" w:hAnsi="Arial"/>
          <w:b/>
          <w:bCs/>
          <w:color w:val="1D6A96"/>
          <w:sz w:val="26"/>
          <w:szCs w:val="26"/>
        </w:rPr>
        <w:t xml:space="preserve">4.2 Limitations et risques</w:t>
      </w:r>
    </w:p>
    <w:p>
      <w:pPr>
        <w:pStyle w:val="ListParagraph"/>
        <w:numPr>
          <w:ilvl w:val="0"/>
          <w:numId w:val="2"/>
        </w:numPr>
        <w:spacing w:after="60" w:before="60"/>
      </w:pPr>
      <w:r>
        <w:rPr>
          <w:rFonts w:ascii="Arial" w:cs="Arial" w:eastAsia="Arial" w:hAnsi="Arial"/>
          <w:color w:val="1A1A1A"/>
          <w:sz w:val="22"/>
          <w:szCs w:val="22"/>
        </w:rPr>
        <w:t xml:space="preserve">Dépendance réseau : la qualité du VPN/Direct Connect est critique pour les flux temps réel. Une redondance réseau est recommandée.</w:t>
      </w:r>
    </w:p>
    <w:p>
      <w:pPr>
        <w:pStyle w:val="ListParagraph"/>
        <w:numPr>
          <w:ilvl w:val="0"/>
          <w:numId w:val="2"/>
        </w:numPr>
        <w:spacing w:after="60" w:before="60"/>
      </w:pPr>
      <w:r>
        <w:rPr>
          <w:rFonts w:ascii="Arial" w:cs="Arial" w:eastAsia="Arial" w:hAnsi="Arial"/>
          <w:color w:val="1A1A1A"/>
          <w:sz w:val="22"/>
          <w:szCs w:val="22"/>
        </w:rPr>
        <w:t xml:space="preserve">Coût des services managés : AWS Directory Service et Redshift représentent les postes les plus élevés. À surveiller de près avec AWS Budgets.</w:t>
      </w:r>
    </w:p>
    <w:p>
      <w:pPr>
        <w:pStyle w:val="ListParagraph"/>
        <w:numPr>
          <w:ilvl w:val="0"/>
          <w:numId w:val="2"/>
        </w:numPr>
        <w:spacing w:after="60" w:before="60"/>
      </w:pPr>
      <w:r>
        <w:rPr>
          <w:rFonts w:ascii="Arial" w:cs="Arial" w:eastAsia="Arial" w:hAnsi="Arial"/>
          <w:color w:val="1A1A1A"/>
          <w:sz w:val="22"/>
          <w:szCs w:val="22"/>
        </w:rPr>
        <w:t xml:space="preserve">Latence de synchronisation AD : quelques secondes de délai lors de changements d'accès utilisateurs — acceptable en production, mais à documenter.</w:t>
      </w:r>
    </w:p>
    <w:p>
      <w:pPr>
        <w:pStyle w:val="ListParagraph"/>
        <w:numPr>
          <w:ilvl w:val="0"/>
          <w:numId w:val="2"/>
        </w:numPr>
        <w:spacing w:after="60" w:before="60"/>
      </w:pPr>
      <w:r>
        <w:rPr>
          <w:rFonts w:ascii="Arial" w:cs="Arial" w:eastAsia="Arial" w:hAnsi="Arial"/>
          <w:color w:val="1A1A1A"/>
          <w:sz w:val="22"/>
          <w:szCs w:val="22"/>
        </w:rPr>
        <w:t xml:space="preserve">Complexité opérationnelle : la stack (Redpanda + EMR + DMS + Redshift) requiert des compétences AWS et data engineering. Prévoir une montée en compétences des équipes.</w:t>
      </w:r>
    </w:p>
    <w:p>
      <w:pPr>
        <w:spacing w:after="0" w:before="120"/>
      </w:pPr>
      <w:r>
        <w:t xml:space="preserve"/>
      </w:r>
    </w:p>
    <w:p>
      <w:pPr>
        <w:pStyle w:val="Heading2"/>
        <w:spacing w:after="120" w:before="240"/>
      </w:pPr>
      <w:r>
        <w:rPr>
          <w:rFonts w:ascii="Arial" w:cs="Arial" w:eastAsia="Arial" w:hAnsi="Arial"/>
          <w:b/>
          <w:bCs/>
          <w:color w:val="1D6A96"/>
          <w:sz w:val="26"/>
          <w:szCs w:val="26"/>
        </w:rPr>
        <w:t xml:space="preserve">4.3 Points d'attention pour l'intégration</w:t>
      </w:r>
    </w:p>
    <w:p>
      <w:pPr>
        <w:pStyle w:val="ListParagraph"/>
        <w:numPr>
          <w:ilvl w:val="0"/>
          <w:numId w:val="2"/>
        </w:numPr>
        <w:spacing w:after="60" w:before="60"/>
      </w:pPr>
      <w:r>
        <w:rPr>
          <w:rFonts w:ascii="Arial" w:cs="Arial" w:eastAsia="Arial" w:hAnsi="Arial"/>
          <w:color w:val="1A1A1A"/>
          <w:sz w:val="22"/>
          <w:szCs w:val="22"/>
        </w:rPr>
        <w:t xml:space="preserve">Tester la bande passante VPN avant le démarrage : la migration initiale des 40 To SQL Server nécessite une connexion stable et rapide.</w:t>
      </w:r>
    </w:p>
    <w:p>
      <w:pPr>
        <w:pStyle w:val="ListParagraph"/>
        <w:numPr>
          <w:ilvl w:val="0"/>
          <w:numId w:val="2"/>
        </w:numPr>
        <w:spacing w:after="60" w:before="60"/>
      </w:pPr>
      <w:r>
        <w:rPr>
          <w:rFonts w:ascii="Arial" w:cs="Arial" w:eastAsia="Arial" w:hAnsi="Arial"/>
          <w:color w:val="1A1A1A"/>
          <w:sz w:val="22"/>
          <w:szCs w:val="22"/>
        </w:rPr>
        <w:t xml:space="preserve">Définir une stratégie de partitionnement S3 dès le départ (par date, par type de capteur) pour optimiser les performances des requêtes Spark et Redshift.</w:t>
      </w:r>
    </w:p>
    <w:p>
      <w:pPr>
        <w:pStyle w:val="ListParagraph"/>
        <w:numPr>
          <w:ilvl w:val="0"/>
          <w:numId w:val="2"/>
        </w:numPr>
        <w:spacing w:after="60" w:before="60"/>
      </w:pPr>
      <w:r>
        <w:rPr>
          <w:rFonts w:ascii="Arial" w:cs="Arial" w:eastAsia="Arial" w:hAnsi="Arial"/>
          <w:color w:val="1A1A1A"/>
          <w:sz w:val="22"/>
          <w:szCs w:val="22"/>
        </w:rPr>
        <w:t xml:space="preserve">Mettre en place un plan de reprise d'activité (PRA) : snapshot Redshift quotidien, réplication S3 multi-région.</w:t>
      </w:r>
    </w:p>
    <w:p>
      <w:pPr>
        <w:pStyle w:val="ListParagraph"/>
        <w:numPr>
          <w:ilvl w:val="0"/>
          <w:numId w:val="2"/>
        </w:numPr>
        <w:spacing w:after="60" w:before="60"/>
      </w:pPr>
      <w:r>
        <w:rPr>
          <w:rFonts w:ascii="Arial" w:cs="Arial" w:eastAsia="Arial" w:hAnsi="Arial"/>
          <w:color w:val="1A1A1A"/>
          <w:sz w:val="22"/>
          <w:szCs w:val="22"/>
        </w:rPr>
        <w:t xml:space="preserve">Activer AWS Config et AWS CloudTrail dès le départ pour la traçabilité et l'audit des accès — indispensable pour la conformité RGPD.</w:t>
      </w:r>
    </w:p>
    <w:p>
      <w:pPr>
        <w:pStyle w:val="ListParagraph"/>
        <w:numPr>
          <w:ilvl w:val="0"/>
          <w:numId w:val="2"/>
        </w:numPr>
        <w:spacing w:after="60" w:before="60"/>
      </w:pPr>
      <w:r>
        <w:rPr>
          <w:rFonts w:ascii="Arial" w:cs="Arial" w:eastAsia="Arial" w:hAnsi="Arial"/>
          <w:color w:val="1A1A1A"/>
          <w:sz w:val="22"/>
          <w:szCs w:val="22"/>
        </w:rPr>
        <w:t xml:space="preserve">Prévoir une phase pilote de 4 à 6 semaines avec un sous-ensemble de données IoT avant la bascule complète en production.</w:t>
      </w:r>
    </w:p>
    <w:p>
      <w:pPr>
        <w:spacing w:after="0" w:before="120"/>
      </w:pPr>
      <w:r>
        <w:t xml:space="preserve"/>
      </w:r>
    </w:p>
    <w:p>
      <w:pPr>
        <w:pBdr>
          <w:top w:val="single" w:color="2E75B6" w:sz="4" w:space="4"/>
        </w:pBdr>
        <w:spacing w:after="120" w:before="240"/>
      </w:pPr>
      <w:r>
        <w:rPr>
          <w:rFonts w:ascii="Arial" w:cs="Arial" w:eastAsia="Arial" w:hAnsi="Arial"/>
          <w:b/>
          <w:bCs/>
          <w:color w:val="1F4E79"/>
          <w:sz w:val="26"/>
          <w:szCs w:val="26"/>
        </w:rPr>
        <w:t xml:space="preserve">Conclusion</w:t>
      </w:r>
    </w:p>
    <w:p>
      <w:pPr>
        <w:spacing w:after="100" w:before="80"/>
        <w:jc w:val="both"/>
      </w:pPr>
      <w:r>
        <w:rPr>
          <w:rFonts w:ascii="Arial" w:cs="Arial" w:eastAsia="Arial" w:hAnsi="Arial"/>
          <w:color w:val="1A1A1A"/>
          <w:sz w:val="22"/>
          <w:szCs w:val="22"/>
        </w:rPr>
        <w:t xml:space="preserve">L'architecture hybride proposée pour InduTechData est compatible avec le SI on-premise existant. Elle garantit la sécurité des flux via TLS et IAM, assure une interopérabilité native avec SQL Server et l'Active Directory, et répond aux besoins de scalabilité à moyen terme. Les principaux risques identifiés — dépendance réseau et maîtrise des coûts — sont gérables par des mesures de surveillance proactives (CloudWatch, AWS Budgets) et une architecture réseau redondante. Sous réserve d'une phase pilote réussie, cette infrastructure constitue une base solide pour la modernisation de la gestion des données d'InduTechData.</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i/>
        <w:iCs/>
        <w:color w:val="888888"/>
        <w:sz w:val="18"/>
        <w:szCs w:val="18"/>
      </w:rPr>
      <w:t xml:space="preserve">InduTechData — Évaluation de compatibilité infrastructure hybride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 w:type="paragraph" w:styleId="Heading3">
    <w:name w:val="Heading 3"/>
    <w:basedOn w:val="Normal"/>
    <w:next w:val="Normal"/>
    <w:qFormat/>
    <w:pPr>
      <w:spacing w:after="8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2026-04-27T12:20:21.056Z</dcterms:created>
  <dcterms:modified xsi:type="dcterms:W3CDTF">2026-04-27T12:20:21.057Z</dcterms:modified>
</cp:coreProperties>
</file>

<file path=docProps/custom.xml><?xml version="1.0" encoding="utf-8"?>
<Properties xmlns="http://schemas.openxmlformats.org/officeDocument/2006/custom-properties" xmlns:vt="http://schemas.openxmlformats.org/officeDocument/2006/docPropsVTypes"/>
</file>