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0624D" w14:textId="2DD471CB" w:rsidR="00AE2E90" w:rsidRDefault="00992659">
      <w:r>
        <w:rPr>
          <w:noProof/>
        </w:rPr>
        <w:drawing>
          <wp:inline distT="0" distB="0" distL="0" distR="0" wp14:anchorId="4A1E3F41" wp14:editId="55F707F5">
            <wp:extent cx="5760720" cy="8154670"/>
            <wp:effectExtent l="0" t="0" r="5080" b="0"/>
            <wp:docPr id="5397277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27758" name="Image 539727758"/>
                    <pic:cNvPicPr/>
                  </pic:nvPicPr>
                  <pic:blipFill>
                    <a:blip r:embed="rId5">
                      <a:extLst>
                        <a:ext uri="{28A0092B-C50C-407E-A947-70E740481C1C}">
                          <a14:useLocalDpi xmlns:a14="http://schemas.microsoft.com/office/drawing/2010/main" val="0"/>
                        </a:ext>
                      </a:extLst>
                    </a:blip>
                    <a:stretch>
                      <a:fillRect/>
                    </a:stretch>
                  </pic:blipFill>
                  <pic:spPr>
                    <a:xfrm>
                      <a:off x="0" y="0"/>
                      <a:ext cx="5760720" cy="8154670"/>
                    </a:xfrm>
                    <a:prstGeom prst="rect">
                      <a:avLst/>
                    </a:prstGeom>
                  </pic:spPr>
                </pic:pic>
              </a:graphicData>
            </a:graphic>
          </wp:inline>
        </w:drawing>
      </w:r>
    </w:p>
    <w:p w14:paraId="70E7510B" w14:textId="77777777" w:rsidR="00992659" w:rsidRDefault="00992659"/>
    <w:p w14:paraId="7351B875" w14:textId="77777777" w:rsidR="00992659" w:rsidRDefault="00992659"/>
    <w:p w14:paraId="23266BE3" w14:textId="77777777" w:rsidR="00992659" w:rsidRDefault="00992659"/>
    <w:p w14:paraId="05F66E0C" w14:textId="77777777" w:rsidR="00992659" w:rsidRPr="00992659" w:rsidRDefault="00992659" w:rsidP="00992659">
      <w:pPr>
        <w:pStyle w:val="NormalWeb"/>
        <w:jc w:val="center"/>
        <w:rPr>
          <w:sz w:val="28"/>
          <w:szCs w:val="28"/>
        </w:rPr>
      </w:pPr>
      <w:r w:rsidRPr="00992659">
        <w:rPr>
          <w:rStyle w:val="lev"/>
          <w:sz w:val="28"/>
          <w:szCs w:val="28"/>
        </w:rPr>
        <w:lastRenderedPageBreak/>
        <w:t>SOMMAIRE :</w:t>
      </w:r>
    </w:p>
    <w:p w14:paraId="59E87B9A" w14:textId="77777777" w:rsidR="00992659" w:rsidRPr="00992659" w:rsidRDefault="00992659" w:rsidP="00992659">
      <w:pPr>
        <w:pStyle w:val="NormalWeb"/>
        <w:jc w:val="center"/>
        <w:rPr>
          <w:sz w:val="28"/>
          <w:szCs w:val="28"/>
        </w:rPr>
      </w:pPr>
      <w:r w:rsidRPr="00992659">
        <w:rPr>
          <w:rStyle w:val="lev"/>
          <w:sz w:val="28"/>
          <w:szCs w:val="28"/>
        </w:rPr>
        <w:t>Introduction</w:t>
      </w:r>
      <w:r w:rsidRPr="00992659">
        <w:rPr>
          <w:sz w:val="28"/>
          <w:szCs w:val="28"/>
        </w:rPr>
        <w:br/>
        <w:t>1.1 Contexte du projet</w:t>
      </w:r>
      <w:r w:rsidRPr="00992659">
        <w:rPr>
          <w:sz w:val="28"/>
          <w:szCs w:val="28"/>
        </w:rPr>
        <w:br/>
        <w:t>1.2 Objectifs de l’évaluation</w:t>
      </w:r>
      <w:r w:rsidRPr="00992659">
        <w:rPr>
          <w:sz w:val="28"/>
          <w:szCs w:val="28"/>
        </w:rPr>
        <w:br/>
        <w:t>1.3 Présentation de l’architecture hybride proposée</w:t>
      </w:r>
    </w:p>
    <w:p w14:paraId="46DABA75" w14:textId="77777777" w:rsidR="00992659" w:rsidRPr="00992659" w:rsidRDefault="00992659" w:rsidP="00992659">
      <w:pPr>
        <w:pStyle w:val="NormalWeb"/>
        <w:jc w:val="center"/>
        <w:rPr>
          <w:sz w:val="28"/>
          <w:szCs w:val="28"/>
        </w:rPr>
      </w:pPr>
      <w:r w:rsidRPr="00992659">
        <w:rPr>
          <w:rStyle w:val="lev"/>
          <w:sz w:val="28"/>
          <w:szCs w:val="28"/>
        </w:rPr>
        <w:t>Justification des composants cloud sélectionnés</w:t>
      </w:r>
      <w:r w:rsidRPr="00992659">
        <w:rPr>
          <w:sz w:val="28"/>
          <w:szCs w:val="28"/>
        </w:rPr>
        <w:br/>
        <w:t>2.1 AWS DMS : migration et synchronisation des données</w:t>
      </w:r>
      <w:r w:rsidRPr="00992659">
        <w:rPr>
          <w:sz w:val="28"/>
          <w:szCs w:val="28"/>
        </w:rPr>
        <w:br/>
        <w:t>2.2 Amazon S3 : stockage et Data Lake</w:t>
      </w:r>
      <w:r w:rsidRPr="00992659">
        <w:rPr>
          <w:sz w:val="28"/>
          <w:szCs w:val="28"/>
        </w:rPr>
        <w:br/>
        <w:t>2.3 Amazon EMR : traitement distribué avec Spark</w:t>
      </w:r>
      <w:r w:rsidRPr="00992659">
        <w:rPr>
          <w:sz w:val="28"/>
          <w:szCs w:val="28"/>
        </w:rPr>
        <w:br/>
        <w:t>2.4 Amazon MSK : gestion des flux de streaming</w:t>
      </w:r>
      <w:r w:rsidRPr="00992659">
        <w:rPr>
          <w:sz w:val="28"/>
          <w:szCs w:val="28"/>
        </w:rPr>
        <w:br/>
        <w:t>2.5 IAM et AWS Directory Service : gestion des identités</w:t>
      </w:r>
      <w:r w:rsidRPr="00992659">
        <w:rPr>
          <w:sz w:val="28"/>
          <w:szCs w:val="28"/>
        </w:rPr>
        <w:br/>
        <w:t xml:space="preserve">2.6 Amazon </w:t>
      </w:r>
      <w:proofErr w:type="spellStart"/>
      <w:r w:rsidRPr="00992659">
        <w:rPr>
          <w:sz w:val="28"/>
          <w:szCs w:val="28"/>
        </w:rPr>
        <w:t>CloudWatch</w:t>
      </w:r>
      <w:proofErr w:type="spellEnd"/>
      <w:r w:rsidRPr="00992659">
        <w:rPr>
          <w:sz w:val="28"/>
          <w:szCs w:val="28"/>
        </w:rPr>
        <w:t xml:space="preserve"> : supervision et monitoring</w:t>
      </w:r>
    </w:p>
    <w:p w14:paraId="502FE97A" w14:textId="77777777" w:rsidR="00992659" w:rsidRPr="00992659" w:rsidRDefault="00992659" w:rsidP="00992659">
      <w:pPr>
        <w:pStyle w:val="NormalWeb"/>
        <w:jc w:val="center"/>
        <w:rPr>
          <w:sz w:val="28"/>
          <w:szCs w:val="28"/>
        </w:rPr>
      </w:pPr>
      <w:r w:rsidRPr="00992659">
        <w:rPr>
          <w:rStyle w:val="lev"/>
          <w:sz w:val="28"/>
          <w:szCs w:val="28"/>
        </w:rPr>
        <w:t>Sécurité et conformité</w:t>
      </w:r>
      <w:r w:rsidRPr="00992659">
        <w:rPr>
          <w:sz w:val="28"/>
          <w:szCs w:val="28"/>
        </w:rPr>
        <w:br/>
        <w:t>3.1 Protection des flux de données sensibles</w:t>
      </w:r>
      <w:r w:rsidRPr="00992659">
        <w:rPr>
          <w:sz w:val="28"/>
          <w:szCs w:val="28"/>
        </w:rPr>
        <w:br/>
        <w:t xml:space="preserve">3.2 Sécurisation des communications (SSL/TLS, VPN </w:t>
      </w:r>
      <w:proofErr w:type="spellStart"/>
      <w:r w:rsidRPr="00992659">
        <w:rPr>
          <w:sz w:val="28"/>
          <w:szCs w:val="28"/>
        </w:rPr>
        <w:t>IPSec</w:t>
      </w:r>
      <w:proofErr w:type="spellEnd"/>
      <w:r w:rsidRPr="00992659">
        <w:rPr>
          <w:sz w:val="28"/>
          <w:szCs w:val="28"/>
        </w:rPr>
        <w:t xml:space="preserve">, Direct </w:t>
      </w:r>
      <w:proofErr w:type="spellStart"/>
      <w:r w:rsidRPr="00992659">
        <w:rPr>
          <w:sz w:val="28"/>
          <w:szCs w:val="28"/>
        </w:rPr>
        <w:t>Connect</w:t>
      </w:r>
      <w:proofErr w:type="spellEnd"/>
      <w:r w:rsidRPr="00992659">
        <w:rPr>
          <w:sz w:val="28"/>
          <w:szCs w:val="28"/>
        </w:rPr>
        <w:t>)</w:t>
      </w:r>
      <w:r w:rsidRPr="00992659">
        <w:rPr>
          <w:sz w:val="28"/>
          <w:szCs w:val="28"/>
        </w:rPr>
        <w:br/>
        <w:t>3.3 Gestion des identités entre Active Directory et AWS</w:t>
      </w:r>
      <w:r w:rsidRPr="00992659">
        <w:rPr>
          <w:sz w:val="28"/>
          <w:szCs w:val="28"/>
        </w:rPr>
        <w:br/>
        <w:t>3.4 Contrôle des accès et conformité</w:t>
      </w:r>
    </w:p>
    <w:p w14:paraId="591CD864" w14:textId="77777777" w:rsidR="00992659" w:rsidRPr="00992659" w:rsidRDefault="00992659" w:rsidP="00992659">
      <w:pPr>
        <w:pStyle w:val="NormalWeb"/>
        <w:jc w:val="center"/>
        <w:rPr>
          <w:sz w:val="28"/>
          <w:szCs w:val="28"/>
        </w:rPr>
      </w:pPr>
      <w:r w:rsidRPr="00992659">
        <w:rPr>
          <w:rStyle w:val="lev"/>
          <w:sz w:val="28"/>
          <w:szCs w:val="28"/>
        </w:rPr>
        <w:t>Interopérabilité avec le SI on-</w:t>
      </w:r>
      <w:proofErr w:type="spellStart"/>
      <w:r w:rsidRPr="00992659">
        <w:rPr>
          <w:rStyle w:val="lev"/>
          <w:sz w:val="28"/>
          <w:szCs w:val="28"/>
        </w:rPr>
        <w:t>premise</w:t>
      </w:r>
      <w:proofErr w:type="spellEnd"/>
      <w:r w:rsidRPr="00992659">
        <w:rPr>
          <w:sz w:val="28"/>
          <w:szCs w:val="28"/>
        </w:rPr>
        <w:br/>
        <w:t xml:space="preserve">4.1 Intégration entre </w:t>
      </w:r>
      <w:proofErr w:type="spellStart"/>
      <w:r w:rsidRPr="00992659">
        <w:rPr>
          <w:sz w:val="28"/>
          <w:szCs w:val="28"/>
        </w:rPr>
        <w:t>Redpanda</w:t>
      </w:r>
      <w:proofErr w:type="spellEnd"/>
      <w:r w:rsidRPr="00992659">
        <w:rPr>
          <w:sz w:val="28"/>
          <w:szCs w:val="28"/>
        </w:rPr>
        <w:t xml:space="preserve"> et SQL Server</w:t>
      </w:r>
      <w:r w:rsidRPr="00992659">
        <w:rPr>
          <w:sz w:val="28"/>
          <w:szCs w:val="28"/>
        </w:rPr>
        <w:br/>
        <w:t>4.2 Compatibilité avec les systèmes existants</w:t>
      </w:r>
      <w:r w:rsidRPr="00992659">
        <w:rPr>
          <w:sz w:val="28"/>
          <w:szCs w:val="28"/>
        </w:rPr>
        <w:br/>
        <w:t>4.3 Automatisation des flux de données</w:t>
      </w:r>
      <w:r w:rsidRPr="00992659">
        <w:rPr>
          <w:sz w:val="28"/>
          <w:szCs w:val="28"/>
        </w:rPr>
        <w:br/>
        <w:t>4.4 Communication entre les composants locaux et cloud</w:t>
      </w:r>
    </w:p>
    <w:p w14:paraId="42A663D2" w14:textId="77777777" w:rsidR="00992659" w:rsidRPr="00992659" w:rsidRDefault="00992659" w:rsidP="00992659">
      <w:pPr>
        <w:pStyle w:val="NormalWeb"/>
        <w:jc w:val="center"/>
        <w:rPr>
          <w:sz w:val="28"/>
          <w:szCs w:val="28"/>
        </w:rPr>
      </w:pPr>
      <w:r w:rsidRPr="00992659">
        <w:rPr>
          <w:rStyle w:val="lev"/>
          <w:sz w:val="28"/>
          <w:szCs w:val="28"/>
        </w:rPr>
        <w:t>Scalabilité et gestion des coûts</w:t>
      </w:r>
      <w:r w:rsidRPr="00992659">
        <w:rPr>
          <w:sz w:val="28"/>
          <w:szCs w:val="28"/>
        </w:rPr>
        <w:br/>
        <w:t>5.1 Gestion de l’augmentation des volumes de données</w:t>
      </w:r>
      <w:r w:rsidRPr="00992659">
        <w:rPr>
          <w:sz w:val="28"/>
          <w:szCs w:val="28"/>
        </w:rPr>
        <w:br/>
        <w:t>5.2 Évolutivité pour les données IoT et les logs</w:t>
      </w:r>
      <w:r w:rsidRPr="00992659">
        <w:rPr>
          <w:sz w:val="28"/>
          <w:szCs w:val="28"/>
        </w:rPr>
        <w:br/>
        <w:t>5.3 Outils de surveillance des coûts (</w:t>
      </w:r>
      <w:proofErr w:type="spellStart"/>
      <w:r w:rsidRPr="00992659">
        <w:rPr>
          <w:sz w:val="28"/>
          <w:szCs w:val="28"/>
        </w:rPr>
        <w:t>CloudWatch</w:t>
      </w:r>
      <w:proofErr w:type="spellEnd"/>
      <w:r w:rsidRPr="00992659">
        <w:rPr>
          <w:sz w:val="28"/>
          <w:szCs w:val="28"/>
        </w:rPr>
        <w:t>, AWS Budgets)</w:t>
      </w:r>
      <w:r w:rsidRPr="00992659">
        <w:rPr>
          <w:sz w:val="28"/>
          <w:szCs w:val="28"/>
        </w:rPr>
        <w:br/>
        <w:t>5.4 Estimation des coûts initiaux et récurrents</w:t>
      </w:r>
    </w:p>
    <w:p w14:paraId="045053EC" w14:textId="77777777" w:rsidR="00992659" w:rsidRPr="00992659" w:rsidRDefault="00992659" w:rsidP="00992659">
      <w:pPr>
        <w:pStyle w:val="NormalWeb"/>
        <w:jc w:val="center"/>
        <w:rPr>
          <w:sz w:val="28"/>
          <w:szCs w:val="28"/>
        </w:rPr>
      </w:pPr>
      <w:r w:rsidRPr="00992659">
        <w:rPr>
          <w:rStyle w:val="lev"/>
          <w:sz w:val="28"/>
          <w:szCs w:val="28"/>
        </w:rPr>
        <w:t>Analyse globale de compatibilité</w:t>
      </w:r>
      <w:r w:rsidRPr="00992659">
        <w:rPr>
          <w:sz w:val="28"/>
          <w:szCs w:val="28"/>
        </w:rPr>
        <w:br/>
        <w:t>6.1 Avantages de l’architecture proposée</w:t>
      </w:r>
      <w:r w:rsidRPr="00992659">
        <w:rPr>
          <w:sz w:val="28"/>
          <w:szCs w:val="28"/>
        </w:rPr>
        <w:br/>
        <w:t>6.2 Limitations identifiées</w:t>
      </w:r>
      <w:r w:rsidRPr="00992659">
        <w:rPr>
          <w:sz w:val="28"/>
          <w:szCs w:val="28"/>
        </w:rPr>
        <w:br/>
        <w:t>6.3 Points d’attention pour l’intégration</w:t>
      </w:r>
    </w:p>
    <w:p w14:paraId="18B0360A" w14:textId="77777777" w:rsidR="00992659" w:rsidRPr="00992659" w:rsidRDefault="00992659" w:rsidP="00992659">
      <w:pPr>
        <w:pStyle w:val="NormalWeb"/>
        <w:jc w:val="center"/>
        <w:rPr>
          <w:sz w:val="28"/>
          <w:szCs w:val="28"/>
        </w:rPr>
      </w:pPr>
      <w:r w:rsidRPr="00992659">
        <w:rPr>
          <w:rStyle w:val="lev"/>
          <w:sz w:val="28"/>
          <w:szCs w:val="28"/>
        </w:rPr>
        <w:t>Conclusion</w:t>
      </w:r>
      <w:r w:rsidRPr="00992659">
        <w:rPr>
          <w:sz w:val="28"/>
          <w:szCs w:val="28"/>
        </w:rPr>
        <w:br/>
        <w:t>7.1 Synthèse de l’analyse réalisée</w:t>
      </w:r>
      <w:r w:rsidRPr="00992659">
        <w:rPr>
          <w:sz w:val="28"/>
          <w:szCs w:val="28"/>
        </w:rPr>
        <w:br/>
        <w:t>7.2 Recommandations générales pour le déploiement</w:t>
      </w:r>
    </w:p>
    <w:p w14:paraId="35F807AA" w14:textId="77777777" w:rsidR="00992659" w:rsidRDefault="00992659" w:rsidP="00992659">
      <w:pPr>
        <w:jc w:val="center"/>
      </w:pPr>
    </w:p>
    <w:p w14:paraId="64515A0C" w14:textId="77777777" w:rsidR="00992659" w:rsidRDefault="00992659" w:rsidP="00992659">
      <w:pPr>
        <w:jc w:val="center"/>
      </w:pPr>
    </w:p>
    <w:p w14:paraId="2603832A" w14:textId="7E38FB6B" w:rsidR="00507EE0" w:rsidRPr="00507EE0" w:rsidRDefault="00507EE0" w:rsidP="004173D2">
      <w:pPr>
        <w:pStyle w:val="font-claude-response-body"/>
        <w:rPr>
          <w:rStyle w:val="lev"/>
          <w:sz w:val="32"/>
          <w:szCs w:val="32"/>
        </w:rPr>
      </w:pPr>
      <w:r>
        <w:rPr>
          <w:rStyle w:val="lev"/>
          <w:sz w:val="32"/>
          <w:szCs w:val="32"/>
        </w:rPr>
        <w:lastRenderedPageBreak/>
        <w:t xml:space="preserve">1. </w:t>
      </w:r>
      <w:r w:rsidRPr="00507EE0">
        <w:rPr>
          <w:rStyle w:val="lev"/>
          <w:sz w:val="32"/>
          <w:szCs w:val="32"/>
        </w:rPr>
        <w:t>Introduction</w:t>
      </w:r>
    </w:p>
    <w:p w14:paraId="69A83707" w14:textId="113B2B94" w:rsidR="004173D2" w:rsidRDefault="004173D2" w:rsidP="004173D2">
      <w:pPr>
        <w:pStyle w:val="font-claude-response-body"/>
      </w:pPr>
      <w:r>
        <w:rPr>
          <w:rStyle w:val="lev"/>
        </w:rPr>
        <w:t>1.1 Contexte du projet</w:t>
      </w:r>
    </w:p>
    <w:p w14:paraId="75540711" w14:textId="77777777" w:rsidR="004173D2" w:rsidRDefault="004173D2" w:rsidP="004173D2">
      <w:pPr>
        <w:pStyle w:val="font-claude-response-body"/>
      </w:pPr>
      <w:proofErr w:type="spellStart"/>
      <w:r>
        <w:t>InduTechData</w:t>
      </w:r>
      <w:proofErr w:type="spellEnd"/>
      <w:r>
        <w:t xml:space="preserve"> est une entreprise industrielle dont le SI on-</w:t>
      </w:r>
      <w:proofErr w:type="spellStart"/>
      <w:r>
        <w:t>premise</w:t>
      </w:r>
      <w:proofErr w:type="spellEnd"/>
      <w:r>
        <w:t xml:space="preserve"> repose sur SQL Server, Active Directory (AD) et </w:t>
      </w:r>
      <w:proofErr w:type="spellStart"/>
      <w:r>
        <w:t>Redpanda</w:t>
      </w:r>
      <w:proofErr w:type="spellEnd"/>
      <w:r>
        <w:t xml:space="preserve"> comme broker de messages. Face à des volumes croissants de données IoT et de logs applicatifs, l'infrastructure actuelle atteint ses limites en termes de capacité et de performance. Une migration partielle vers AWS dans une architecture hybride est envisagée pour répondre à ces enjeux.</w:t>
      </w:r>
    </w:p>
    <w:p w14:paraId="7E284CDB" w14:textId="77777777" w:rsidR="004173D2" w:rsidRDefault="004173D2" w:rsidP="004173D2">
      <w:pPr>
        <w:pStyle w:val="font-claude-response-body"/>
      </w:pPr>
      <w:r>
        <w:rPr>
          <w:rStyle w:val="lev"/>
        </w:rPr>
        <w:t>1.2 Objectifs de l'évaluation</w:t>
      </w:r>
    </w:p>
    <w:p w14:paraId="6B197361" w14:textId="77777777" w:rsidR="004173D2" w:rsidRDefault="004173D2" w:rsidP="004173D2">
      <w:pPr>
        <w:pStyle w:val="font-claude-response-body"/>
      </w:pPr>
      <w:r>
        <w:t>Cette évaluation vise à vérifier la compatibilité de l'architecture hybride proposée avec le SI existant, selon trois axes : la sécurité des flux de données, l'interopérabilité entre les composants on-</w:t>
      </w:r>
      <w:proofErr w:type="spellStart"/>
      <w:r>
        <w:t>premise</w:t>
      </w:r>
      <w:proofErr w:type="spellEnd"/>
      <w:r>
        <w:t xml:space="preserve"> et cloud, et la maîtrise des coûts et de la scalabilité.</w:t>
      </w:r>
    </w:p>
    <w:p w14:paraId="33C1DD5E" w14:textId="77777777" w:rsidR="004173D2" w:rsidRDefault="004173D2" w:rsidP="004173D2">
      <w:pPr>
        <w:pStyle w:val="font-claude-response-body"/>
      </w:pPr>
      <w:r>
        <w:rPr>
          <w:rStyle w:val="lev"/>
        </w:rPr>
        <w:t>1.3 Présentation de l'architecture hybride proposée</w:t>
      </w:r>
    </w:p>
    <w:p w14:paraId="2F5635FE" w14:textId="77777777" w:rsidR="004173D2" w:rsidRDefault="004173D2" w:rsidP="004173D2">
      <w:pPr>
        <w:pStyle w:val="font-claude-response-body"/>
      </w:pPr>
      <w:r>
        <w:t>L'architecture hybride connecte le SI on-</w:t>
      </w:r>
      <w:proofErr w:type="spellStart"/>
      <w:r>
        <w:t>premise</w:t>
      </w:r>
      <w:proofErr w:type="spellEnd"/>
      <w:r>
        <w:t xml:space="preserve"> à AWS via Direct </w:t>
      </w:r>
      <w:proofErr w:type="spellStart"/>
      <w:r>
        <w:t>Connect</w:t>
      </w:r>
      <w:proofErr w:type="spellEnd"/>
      <w:r>
        <w:t xml:space="preserve"> ou VPN </w:t>
      </w:r>
      <w:proofErr w:type="spellStart"/>
      <w:r>
        <w:t>IPSec</w:t>
      </w:r>
      <w:proofErr w:type="spellEnd"/>
      <w:r>
        <w:t xml:space="preserve">. Les services retenus sont : AWS DMS (migration), Amazon S3 (Data Lake), Amazon EMR (traitement Spark), Amazon MSK (streaming), IAM + AWS Directory Service (identités) et </w:t>
      </w:r>
      <w:proofErr w:type="spellStart"/>
      <w:r>
        <w:t>CloudWatch</w:t>
      </w:r>
      <w:proofErr w:type="spellEnd"/>
      <w:r>
        <w:t xml:space="preserve"> (supervision).</w:t>
      </w:r>
    </w:p>
    <w:p w14:paraId="24E34D4C" w14:textId="2482A838" w:rsidR="00507EE0" w:rsidRPr="00507EE0" w:rsidRDefault="00507EE0" w:rsidP="004173D2">
      <w:pPr>
        <w:pStyle w:val="font-claude-response-body"/>
        <w:rPr>
          <w:sz w:val="32"/>
          <w:szCs w:val="32"/>
        </w:rPr>
      </w:pPr>
      <w:r>
        <w:rPr>
          <w:rStyle w:val="lev"/>
          <w:sz w:val="32"/>
          <w:szCs w:val="32"/>
        </w:rPr>
        <w:t xml:space="preserve">2. </w:t>
      </w:r>
      <w:r w:rsidRPr="00507EE0">
        <w:rPr>
          <w:rStyle w:val="lev"/>
          <w:sz w:val="32"/>
          <w:szCs w:val="32"/>
        </w:rPr>
        <w:t>Justification des composants cloud sélectionnés</w:t>
      </w:r>
    </w:p>
    <w:p w14:paraId="58E2B4D3" w14:textId="67A38698" w:rsidR="004173D2" w:rsidRPr="004173D2" w:rsidRDefault="004173D2" w:rsidP="004173D2">
      <w:pPr>
        <w:pStyle w:val="Titre2"/>
        <w:rPr>
          <w:color w:val="000000" w:themeColor="text1"/>
        </w:rPr>
      </w:pPr>
      <w:r w:rsidRPr="004173D2">
        <w:rPr>
          <w:rFonts w:ascii="Arial" w:eastAsia="Arial" w:hAnsi="Arial" w:cs="Arial"/>
          <w:b/>
          <w:bCs/>
          <w:color w:val="000000" w:themeColor="text1"/>
          <w:sz w:val="26"/>
          <w:szCs w:val="26"/>
        </w:rPr>
        <w:t>Composants cloud sélectionnés — Justification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3000"/>
        <w:gridCol w:w="2000"/>
      </w:tblGrid>
      <w:tr w:rsidR="004173D2" w14:paraId="6D3EC6FC" w14:textId="77777777" w:rsidTr="004C267E">
        <w:tblPrEx>
          <w:tblCellMar>
            <w:top w:w="0" w:type="dxa"/>
            <w:bottom w:w="0" w:type="dxa"/>
          </w:tblCellMar>
        </w:tblPrEx>
        <w:trPr>
          <w:tblHeader/>
        </w:trPr>
        <w:tc>
          <w:tcPr>
            <w:tcW w:w="1900" w:type="dxa"/>
            <w:tcBorders>
              <w:top w:val="single" w:sz="1" w:space="0" w:color="DDDDDD"/>
              <w:left w:val="single" w:sz="1" w:space="0" w:color="DDDDDD"/>
              <w:bottom w:val="single" w:sz="1" w:space="0" w:color="DDDDDD"/>
              <w:right w:val="single" w:sz="1" w:space="0" w:color="DDDDDD"/>
            </w:tcBorders>
            <w:shd w:val="clear" w:color="auto" w:fill="1F3864"/>
            <w:tcMar>
              <w:top w:w="100" w:type="dxa"/>
              <w:left w:w="140" w:type="dxa"/>
              <w:bottom w:w="100" w:type="dxa"/>
              <w:right w:w="80" w:type="dxa"/>
            </w:tcMar>
          </w:tcPr>
          <w:p w14:paraId="0C3FE3B0" w14:textId="77777777" w:rsidR="004173D2" w:rsidRDefault="004173D2" w:rsidP="004C267E">
            <w:pPr>
              <w:spacing w:before="80" w:after="80"/>
            </w:pPr>
            <w:r>
              <w:rPr>
                <w:rFonts w:ascii="Arial" w:eastAsia="Arial" w:hAnsi="Arial" w:cs="Arial"/>
                <w:b/>
                <w:bCs/>
                <w:color w:val="FFFFFF"/>
                <w:sz w:val="20"/>
                <w:szCs w:val="20"/>
              </w:rPr>
              <w:t>Composant AWS</w:t>
            </w:r>
          </w:p>
        </w:tc>
        <w:tc>
          <w:tcPr>
            <w:tcW w:w="2200" w:type="dxa"/>
            <w:tcBorders>
              <w:top w:val="single" w:sz="1" w:space="0" w:color="DDDDDD"/>
              <w:left w:val="single" w:sz="1" w:space="0" w:color="DDDDDD"/>
              <w:bottom w:val="single" w:sz="1" w:space="0" w:color="DDDDDD"/>
              <w:right w:val="single" w:sz="1" w:space="0" w:color="DDDDDD"/>
            </w:tcBorders>
            <w:shd w:val="clear" w:color="auto" w:fill="1F3864"/>
            <w:tcMar>
              <w:top w:w="100" w:type="dxa"/>
              <w:left w:w="140" w:type="dxa"/>
              <w:bottom w:w="100" w:type="dxa"/>
              <w:right w:w="80" w:type="dxa"/>
            </w:tcMar>
          </w:tcPr>
          <w:p w14:paraId="0A0E9309" w14:textId="77777777" w:rsidR="004173D2" w:rsidRDefault="004173D2" w:rsidP="004C267E">
            <w:pPr>
              <w:spacing w:before="80" w:after="80"/>
            </w:pPr>
            <w:r>
              <w:rPr>
                <w:rFonts w:ascii="Arial" w:eastAsia="Arial" w:hAnsi="Arial" w:cs="Arial"/>
                <w:b/>
                <w:bCs/>
                <w:color w:val="FFFFFF"/>
                <w:sz w:val="20"/>
                <w:szCs w:val="20"/>
              </w:rPr>
              <w:t>Rôle dans l'architecture</w:t>
            </w:r>
          </w:p>
        </w:tc>
        <w:tc>
          <w:tcPr>
            <w:tcW w:w="3000" w:type="dxa"/>
            <w:tcBorders>
              <w:top w:val="single" w:sz="1" w:space="0" w:color="DDDDDD"/>
              <w:left w:val="single" w:sz="1" w:space="0" w:color="DDDDDD"/>
              <w:bottom w:val="single" w:sz="1" w:space="0" w:color="DDDDDD"/>
              <w:right w:val="single" w:sz="1" w:space="0" w:color="DDDDDD"/>
            </w:tcBorders>
            <w:shd w:val="clear" w:color="auto" w:fill="1F3864"/>
            <w:tcMar>
              <w:top w:w="100" w:type="dxa"/>
              <w:left w:w="140" w:type="dxa"/>
              <w:bottom w:w="100" w:type="dxa"/>
              <w:right w:w="80" w:type="dxa"/>
            </w:tcMar>
          </w:tcPr>
          <w:p w14:paraId="6C2B674E" w14:textId="77777777" w:rsidR="004173D2" w:rsidRDefault="004173D2" w:rsidP="004C267E">
            <w:pPr>
              <w:spacing w:before="80" w:after="80"/>
            </w:pPr>
            <w:r>
              <w:rPr>
                <w:rFonts w:ascii="Arial" w:eastAsia="Arial" w:hAnsi="Arial" w:cs="Arial"/>
                <w:b/>
                <w:bCs/>
                <w:color w:val="FFFFFF"/>
                <w:sz w:val="20"/>
                <w:szCs w:val="20"/>
              </w:rPr>
              <w:t>Justification du choix</w:t>
            </w:r>
          </w:p>
        </w:tc>
        <w:tc>
          <w:tcPr>
            <w:tcW w:w="2000" w:type="dxa"/>
            <w:tcBorders>
              <w:top w:val="single" w:sz="1" w:space="0" w:color="DDDDDD"/>
              <w:left w:val="single" w:sz="1" w:space="0" w:color="DDDDDD"/>
              <w:bottom w:val="single" w:sz="1" w:space="0" w:color="DDDDDD"/>
              <w:right w:val="single" w:sz="1" w:space="0" w:color="DDDDDD"/>
            </w:tcBorders>
            <w:shd w:val="clear" w:color="auto" w:fill="1F3864"/>
            <w:tcMar>
              <w:top w:w="100" w:type="dxa"/>
              <w:left w:w="140" w:type="dxa"/>
              <w:bottom w:w="100" w:type="dxa"/>
              <w:right w:w="80" w:type="dxa"/>
            </w:tcMar>
          </w:tcPr>
          <w:p w14:paraId="58270D87" w14:textId="77777777" w:rsidR="004173D2" w:rsidRDefault="004173D2" w:rsidP="004C267E">
            <w:pPr>
              <w:spacing w:before="80" w:after="80"/>
            </w:pPr>
            <w:r>
              <w:rPr>
                <w:rFonts w:ascii="Arial" w:eastAsia="Arial" w:hAnsi="Arial" w:cs="Arial"/>
                <w:b/>
                <w:bCs/>
                <w:color w:val="FFFFFF"/>
                <w:sz w:val="20"/>
                <w:szCs w:val="20"/>
              </w:rPr>
              <w:t>Équivalent local (POC)</w:t>
            </w:r>
          </w:p>
        </w:tc>
      </w:tr>
      <w:tr w:rsidR="004173D2" w14:paraId="6C8E7BD6" w14:textId="77777777" w:rsidTr="004C267E">
        <w:tblPrEx>
          <w:tblCellMar>
            <w:top w:w="0" w:type="dxa"/>
            <w:bottom w:w="0" w:type="dxa"/>
          </w:tblCellMar>
        </w:tblPrEx>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1C64B4AD" w14:textId="77777777" w:rsidR="004173D2" w:rsidRDefault="004173D2" w:rsidP="004C267E">
            <w:pPr>
              <w:spacing w:before="80" w:after="80"/>
            </w:pPr>
            <w:r>
              <w:rPr>
                <w:rFonts w:ascii="Arial" w:eastAsia="Arial" w:hAnsi="Arial" w:cs="Arial"/>
                <w:color w:val="000000"/>
                <w:sz w:val="20"/>
                <w:szCs w:val="20"/>
              </w:rPr>
              <w:t>AWS Lambda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5E73FF60" w14:textId="77777777" w:rsidR="004173D2" w:rsidRDefault="004173D2" w:rsidP="004C267E">
            <w:pPr>
              <w:spacing w:before="80" w:after="80"/>
            </w:pPr>
            <w:r>
              <w:rPr>
                <w:rFonts w:ascii="Arial" w:eastAsia="Arial" w:hAnsi="Arial" w:cs="Arial"/>
                <w:color w:val="000000"/>
                <w:sz w:val="20"/>
                <w:szCs w:val="20"/>
              </w:rPr>
              <w:t>Génération et envoi d'événements tickets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2318FE5D" w14:textId="77777777" w:rsidR="004173D2" w:rsidRDefault="004173D2" w:rsidP="004C267E">
            <w:pPr>
              <w:spacing w:before="80" w:after="80"/>
            </w:pPr>
            <w:proofErr w:type="spellStart"/>
            <w:r>
              <w:rPr>
                <w:rFonts w:ascii="Arial" w:eastAsia="Arial" w:hAnsi="Arial" w:cs="Arial"/>
                <w:color w:val="000000"/>
                <w:sz w:val="20"/>
                <w:szCs w:val="20"/>
              </w:rPr>
              <w:t>Serverless</w:t>
            </w:r>
            <w:proofErr w:type="spellEnd"/>
            <w:r>
              <w:rPr>
                <w:rFonts w:ascii="Arial" w:eastAsia="Arial" w:hAnsi="Arial" w:cs="Arial"/>
                <w:color w:val="000000"/>
                <w:sz w:val="20"/>
                <w:szCs w:val="20"/>
              </w:rPr>
              <w:t>, facturation à l'usage, zéro infra à gérer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10E2EC43" w14:textId="77777777" w:rsidR="004173D2" w:rsidRDefault="004173D2" w:rsidP="004C267E">
            <w:pPr>
              <w:spacing w:before="80" w:after="80"/>
            </w:pPr>
            <w:r>
              <w:rPr>
                <w:rFonts w:ascii="Arial" w:eastAsia="Arial" w:hAnsi="Arial" w:cs="Arial"/>
                <w:color w:val="000000"/>
                <w:sz w:val="20"/>
                <w:szCs w:val="20"/>
              </w:rPr>
              <w:t>producer_tickets.py</w:t>
            </w:r>
          </w:p>
        </w:tc>
      </w:tr>
      <w:tr w:rsidR="004173D2" w14:paraId="01DB962C" w14:textId="77777777" w:rsidTr="004C267E">
        <w:tblPrEx>
          <w:tblCellMar>
            <w:top w:w="0" w:type="dxa"/>
            <w:bottom w:w="0" w:type="dxa"/>
          </w:tblCellMar>
        </w:tblPrEx>
        <w:tc>
          <w:tcPr>
            <w:tcW w:w="19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3131B51B" w14:textId="77777777" w:rsidR="004173D2" w:rsidRDefault="004173D2" w:rsidP="004C267E">
            <w:pPr>
              <w:spacing w:before="80" w:after="80"/>
            </w:pPr>
            <w:r>
              <w:rPr>
                <w:rFonts w:ascii="Arial" w:eastAsia="Arial" w:hAnsi="Arial" w:cs="Arial"/>
                <w:color w:val="000000"/>
                <w:sz w:val="20"/>
                <w:szCs w:val="20"/>
              </w:rPr>
              <w:t>Amazon MSK (Kafka)</w:t>
            </w:r>
          </w:p>
        </w:tc>
        <w:tc>
          <w:tcPr>
            <w:tcW w:w="22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5AFDAA18" w14:textId="77777777" w:rsidR="004173D2" w:rsidRDefault="004173D2" w:rsidP="004C267E">
            <w:pPr>
              <w:spacing w:before="80" w:after="80"/>
            </w:pPr>
            <w:r>
              <w:rPr>
                <w:rFonts w:ascii="Arial" w:eastAsia="Arial" w:hAnsi="Arial" w:cs="Arial"/>
                <w:color w:val="000000"/>
                <w:sz w:val="20"/>
                <w:szCs w:val="20"/>
              </w:rPr>
              <w:t>Broker de streaming — ingestion des flux IoT</w:t>
            </w:r>
          </w:p>
        </w:tc>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50733A07" w14:textId="77777777" w:rsidR="004173D2" w:rsidRDefault="004173D2" w:rsidP="004C267E">
            <w:pPr>
              <w:spacing w:before="80" w:after="80"/>
            </w:pPr>
            <w:r>
              <w:rPr>
                <w:rFonts w:ascii="Arial" w:eastAsia="Arial" w:hAnsi="Arial" w:cs="Arial"/>
                <w:color w:val="000000"/>
                <w:sz w:val="20"/>
                <w:szCs w:val="20"/>
              </w:rPr>
              <w:t>100 % compatible Kafka API, zéro recodage, managé AWS</w:t>
            </w:r>
          </w:p>
        </w:tc>
        <w:tc>
          <w:tcPr>
            <w:tcW w:w="20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6F85FA2D" w14:textId="77777777" w:rsidR="004173D2" w:rsidRDefault="004173D2" w:rsidP="004C267E">
            <w:pPr>
              <w:spacing w:before="80" w:after="80"/>
            </w:pPr>
            <w:proofErr w:type="spellStart"/>
            <w:r>
              <w:rPr>
                <w:rFonts w:ascii="Arial" w:eastAsia="Arial" w:hAnsi="Arial" w:cs="Arial"/>
                <w:color w:val="000000"/>
                <w:sz w:val="20"/>
                <w:szCs w:val="20"/>
              </w:rPr>
              <w:t>Redpanda</w:t>
            </w:r>
            <w:proofErr w:type="spellEnd"/>
            <w:r>
              <w:rPr>
                <w:rFonts w:ascii="Arial" w:eastAsia="Arial" w:hAnsi="Arial" w:cs="Arial"/>
                <w:color w:val="000000"/>
                <w:sz w:val="20"/>
                <w:szCs w:val="20"/>
              </w:rPr>
              <w:t xml:space="preserve"> (Docker)</w:t>
            </w:r>
          </w:p>
        </w:tc>
      </w:tr>
      <w:tr w:rsidR="004173D2" w14:paraId="5504E9F5" w14:textId="77777777" w:rsidTr="004C267E">
        <w:tblPrEx>
          <w:tblCellMar>
            <w:top w:w="0" w:type="dxa"/>
            <w:bottom w:w="0" w:type="dxa"/>
          </w:tblCellMar>
        </w:tblPrEx>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601CD932" w14:textId="77777777" w:rsidR="004173D2" w:rsidRDefault="004173D2" w:rsidP="004C267E">
            <w:pPr>
              <w:spacing w:before="80" w:after="80"/>
            </w:pPr>
            <w:r>
              <w:rPr>
                <w:rFonts w:ascii="Arial" w:eastAsia="Arial" w:hAnsi="Arial" w:cs="Arial"/>
                <w:color w:val="000000"/>
                <w:sz w:val="20"/>
                <w:szCs w:val="20"/>
              </w:rPr>
              <w:t>Amazon EMR (Spark)</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4DC52A62" w14:textId="77777777" w:rsidR="004173D2" w:rsidRDefault="004173D2" w:rsidP="004C267E">
            <w:pPr>
              <w:spacing w:before="80" w:after="80"/>
            </w:pPr>
            <w:r>
              <w:rPr>
                <w:rFonts w:ascii="Arial" w:eastAsia="Arial" w:hAnsi="Arial" w:cs="Arial"/>
                <w:color w:val="000000"/>
                <w:sz w:val="20"/>
                <w:szCs w:val="20"/>
              </w:rPr>
              <w:t>Traitement distribué — transformation, agrégation</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1FF7CC91" w14:textId="77777777" w:rsidR="004173D2" w:rsidRDefault="004173D2" w:rsidP="004C267E">
            <w:pPr>
              <w:spacing w:before="80" w:after="80"/>
            </w:pPr>
            <w:r>
              <w:rPr>
                <w:rFonts w:ascii="Arial" w:eastAsia="Arial" w:hAnsi="Arial" w:cs="Arial"/>
                <w:color w:val="000000"/>
                <w:sz w:val="20"/>
                <w:szCs w:val="20"/>
              </w:rPr>
              <w:t>Cluster Spark managé, Spot Instances, intégration S3 native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006F9DC9" w14:textId="77777777" w:rsidR="004173D2" w:rsidRDefault="004173D2" w:rsidP="004C267E">
            <w:pPr>
              <w:spacing w:before="80" w:after="80"/>
            </w:pPr>
            <w:proofErr w:type="spellStart"/>
            <w:r>
              <w:rPr>
                <w:rFonts w:ascii="Arial" w:eastAsia="Arial" w:hAnsi="Arial" w:cs="Arial"/>
                <w:color w:val="000000"/>
                <w:sz w:val="20"/>
                <w:szCs w:val="20"/>
              </w:rPr>
              <w:t>PySpark</w:t>
            </w:r>
            <w:proofErr w:type="spellEnd"/>
            <w:r>
              <w:rPr>
                <w:rFonts w:ascii="Arial" w:eastAsia="Arial" w:hAnsi="Arial" w:cs="Arial"/>
                <w:color w:val="000000"/>
                <w:sz w:val="20"/>
                <w:szCs w:val="20"/>
              </w:rPr>
              <w:t xml:space="preserve"> (Docker)</w:t>
            </w:r>
          </w:p>
        </w:tc>
      </w:tr>
      <w:tr w:rsidR="004173D2" w14:paraId="2112CD8C" w14:textId="77777777" w:rsidTr="004C267E">
        <w:tblPrEx>
          <w:tblCellMar>
            <w:top w:w="0" w:type="dxa"/>
            <w:bottom w:w="0" w:type="dxa"/>
          </w:tblCellMar>
        </w:tblPrEx>
        <w:tc>
          <w:tcPr>
            <w:tcW w:w="19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38902FDA" w14:textId="77777777" w:rsidR="004173D2" w:rsidRDefault="004173D2" w:rsidP="004C267E">
            <w:pPr>
              <w:spacing w:before="80" w:after="80"/>
            </w:pPr>
            <w:r>
              <w:rPr>
                <w:rFonts w:ascii="Arial" w:eastAsia="Arial" w:hAnsi="Arial" w:cs="Arial"/>
                <w:color w:val="000000"/>
                <w:sz w:val="20"/>
                <w:szCs w:val="20"/>
              </w:rPr>
              <w:t>Amazon S3</w:t>
            </w:r>
          </w:p>
        </w:tc>
        <w:tc>
          <w:tcPr>
            <w:tcW w:w="22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0E8886F4" w14:textId="77777777" w:rsidR="004173D2" w:rsidRDefault="004173D2" w:rsidP="004C267E">
            <w:pPr>
              <w:spacing w:before="80" w:after="80"/>
            </w:pPr>
            <w:r>
              <w:rPr>
                <w:rFonts w:ascii="Arial" w:eastAsia="Arial" w:hAnsi="Arial" w:cs="Arial"/>
                <w:color w:val="000000"/>
                <w:sz w:val="20"/>
                <w:szCs w:val="20"/>
              </w:rPr>
              <w:t>Data Lake — stockage brut et transformé</w:t>
            </w:r>
          </w:p>
        </w:tc>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26AE006E" w14:textId="77777777" w:rsidR="004173D2" w:rsidRDefault="004173D2" w:rsidP="004C267E">
            <w:pPr>
              <w:spacing w:before="80" w:after="80"/>
            </w:pPr>
            <w:r>
              <w:rPr>
                <w:rFonts w:ascii="Arial" w:eastAsia="Arial" w:hAnsi="Arial" w:cs="Arial"/>
                <w:color w:val="000000"/>
                <w:sz w:val="20"/>
                <w:szCs w:val="20"/>
              </w:rPr>
              <w:t>Scalabilité illimitée, coût faible, compatibilité Parquet/JSON</w:t>
            </w:r>
          </w:p>
        </w:tc>
        <w:tc>
          <w:tcPr>
            <w:tcW w:w="20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7C5341DE" w14:textId="77777777" w:rsidR="004173D2" w:rsidRDefault="004173D2" w:rsidP="004C267E">
            <w:pPr>
              <w:spacing w:before="80" w:after="80"/>
            </w:pPr>
            <w:proofErr w:type="gramStart"/>
            <w:r>
              <w:rPr>
                <w:rFonts w:ascii="Arial" w:eastAsia="Arial" w:hAnsi="Arial" w:cs="Arial"/>
                <w:color w:val="000000"/>
                <w:sz w:val="20"/>
                <w:szCs w:val="20"/>
              </w:rPr>
              <w:t>data</w:t>
            </w:r>
            <w:proofErr w:type="gramEnd"/>
            <w:r>
              <w:rPr>
                <w:rFonts w:ascii="Arial" w:eastAsia="Arial" w:hAnsi="Arial" w:cs="Arial"/>
                <w:color w:val="000000"/>
                <w:sz w:val="20"/>
                <w:szCs w:val="20"/>
              </w:rPr>
              <w:t>/output/</w:t>
            </w:r>
          </w:p>
        </w:tc>
      </w:tr>
      <w:tr w:rsidR="004173D2" w14:paraId="119E502F" w14:textId="77777777" w:rsidTr="004C267E">
        <w:tblPrEx>
          <w:tblCellMar>
            <w:top w:w="0" w:type="dxa"/>
            <w:bottom w:w="0" w:type="dxa"/>
          </w:tblCellMar>
        </w:tblPrEx>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69643CEA" w14:textId="77777777" w:rsidR="004173D2" w:rsidRDefault="004173D2" w:rsidP="004C267E">
            <w:pPr>
              <w:spacing w:before="80" w:after="80"/>
            </w:pPr>
            <w:r>
              <w:rPr>
                <w:rFonts w:ascii="Arial" w:eastAsia="Arial" w:hAnsi="Arial" w:cs="Arial"/>
                <w:color w:val="000000"/>
                <w:sz w:val="20"/>
                <w:szCs w:val="20"/>
              </w:rPr>
              <w:t>Amazon Redshift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4581BAAB" w14:textId="77777777" w:rsidR="004173D2" w:rsidRDefault="004173D2" w:rsidP="004C267E">
            <w:pPr>
              <w:spacing w:before="80" w:after="80"/>
            </w:pPr>
            <w:r>
              <w:rPr>
                <w:rFonts w:ascii="Arial" w:eastAsia="Arial" w:hAnsi="Arial" w:cs="Arial"/>
                <w:color w:val="000000"/>
                <w:sz w:val="20"/>
                <w:szCs w:val="20"/>
              </w:rPr>
              <w:t>Entrepôt analytique — requêtes SQL complexes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1CE30DE9" w14:textId="77777777" w:rsidR="004173D2" w:rsidRDefault="004173D2" w:rsidP="004C267E">
            <w:pPr>
              <w:spacing w:before="80" w:after="80"/>
            </w:pPr>
            <w:r>
              <w:rPr>
                <w:rFonts w:ascii="Arial" w:eastAsia="Arial" w:hAnsi="Arial" w:cs="Arial"/>
                <w:color w:val="000000"/>
                <w:sz w:val="20"/>
                <w:szCs w:val="20"/>
              </w:rPr>
              <w:t xml:space="preserve">Optimisé colonnes, connecteurs natifs S3/MSK, </w:t>
            </w:r>
            <w:proofErr w:type="spellStart"/>
            <w:r>
              <w:rPr>
                <w:rFonts w:ascii="Arial" w:eastAsia="Arial" w:hAnsi="Arial" w:cs="Arial"/>
                <w:color w:val="000000"/>
                <w:sz w:val="20"/>
                <w:szCs w:val="20"/>
              </w:rPr>
              <w:t>Concurrency</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Scaling</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4D996AAD" w14:textId="77777777" w:rsidR="004173D2" w:rsidRDefault="004173D2" w:rsidP="004C267E">
            <w:pPr>
              <w:spacing w:before="80" w:after="80"/>
            </w:pPr>
            <w:r>
              <w:rPr>
                <w:rFonts w:ascii="Arial" w:eastAsia="Arial" w:hAnsi="Arial" w:cs="Arial"/>
                <w:color w:val="000000"/>
                <w:sz w:val="20"/>
                <w:szCs w:val="20"/>
              </w:rPr>
              <w:t>—</w:t>
            </w:r>
          </w:p>
        </w:tc>
      </w:tr>
      <w:tr w:rsidR="004173D2" w14:paraId="4B906ECD" w14:textId="77777777" w:rsidTr="004C267E">
        <w:tblPrEx>
          <w:tblCellMar>
            <w:top w:w="0" w:type="dxa"/>
            <w:bottom w:w="0" w:type="dxa"/>
          </w:tblCellMar>
        </w:tblPrEx>
        <w:tc>
          <w:tcPr>
            <w:tcW w:w="19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0176CCAE" w14:textId="77777777" w:rsidR="004173D2" w:rsidRDefault="004173D2" w:rsidP="004C267E">
            <w:pPr>
              <w:spacing w:before="80" w:after="80"/>
            </w:pPr>
            <w:r>
              <w:rPr>
                <w:rFonts w:ascii="Arial" w:eastAsia="Arial" w:hAnsi="Arial" w:cs="Arial"/>
                <w:color w:val="000000"/>
                <w:sz w:val="20"/>
                <w:szCs w:val="20"/>
              </w:rPr>
              <w:lastRenderedPageBreak/>
              <w:t>AWS DMS</w:t>
            </w:r>
          </w:p>
        </w:tc>
        <w:tc>
          <w:tcPr>
            <w:tcW w:w="22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4596EC21" w14:textId="77777777" w:rsidR="004173D2" w:rsidRDefault="004173D2" w:rsidP="004C267E">
            <w:pPr>
              <w:spacing w:before="80" w:after="80"/>
            </w:pPr>
            <w:r>
              <w:rPr>
                <w:rFonts w:ascii="Arial" w:eastAsia="Arial" w:hAnsi="Arial" w:cs="Arial"/>
                <w:color w:val="000000"/>
                <w:sz w:val="20"/>
                <w:szCs w:val="20"/>
              </w:rPr>
              <w:t>Sync SQL Server on-</w:t>
            </w:r>
            <w:proofErr w:type="spellStart"/>
            <w:r>
              <w:rPr>
                <w:rFonts w:ascii="Arial" w:eastAsia="Arial" w:hAnsi="Arial" w:cs="Arial"/>
                <w:color w:val="000000"/>
                <w:sz w:val="20"/>
                <w:szCs w:val="20"/>
              </w:rPr>
              <w:t>premise</w:t>
            </w:r>
            <w:proofErr w:type="spellEnd"/>
            <w:r>
              <w:rPr>
                <w:rFonts w:ascii="Arial" w:eastAsia="Arial" w:hAnsi="Arial" w:cs="Arial"/>
                <w:color w:val="000000"/>
                <w:sz w:val="20"/>
                <w:szCs w:val="20"/>
              </w:rPr>
              <w:t xml:space="preserve"> → S3 / Redshift</w:t>
            </w:r>
          </w:p>
        </w:tc>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49ED7B51" w14:textId="77777777" w:rsidR="004173D2" w:rsidRDefault="004173D2" w:rsidP="004C267E">
            <w:pPr>
              <w:spacing w:before="80" w:after="80"/>
            </w:pPr>
            <w:r>
              <w:rPr>
                <w:rFonts w:ascii="Arial" w:eastAsia="Arial" w:hAnsi="Arial" w:cs="Arial"/>
                <w:color w:val="000000"/>
                <w:sz w:val="20"/>
                <w:szCs w:val="20"/>
              </w:rPr>
              <w:t>CDC natif SQL Server, réplication continue, sans interruption</w:t>
            </w:r>
          </w:p>
        </w:tc>
        <w:tc>
          <w:tcPr>
            <w:tcW w:w="20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36A0A2C0" w14:textId="77777777" w:rsidR="004173D2" w:rsidRDefault="004173D2" w:rsidP="004C267E">
            <w:pPr>
              <w:spacing w:before="80" w:after="80"/>
            </w:pPr>
            <w:r>
              <w:rPr>
                <w:rFonts w:ascii="Arial" w:eastAsia="Arial" w:hAnsi="Arial" w:cs="Arial"/>
                <w:color w:val="000000"/>
                <w:sz w:val="20"/>
                <w:szCs w:val="20"/>
              </w:rPr>
              <w:t>—</w:t>
            </w:r>
          </w:p>
        </w:tc>
      </w:tr>
      <w:tr w:rsidR="004173D2" w14:paraId="1BCD1109" w14:textId="77777777" w:rsidTr="004C267E">
        <w:tblPrEx>
          <w:tblCellMar>
            <w:top w:w="0" w:type="dxa"/>
            <w:bottom w:w="0" w:type="dxa"/>
          </w:tblCellMar>
        </w:tblPrEx>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7EF77A26" w14:textId="77777777" w:rsidR="004173D2" w:rsidRDefault="004173D2" w:rsidP="004C267E">
            <w:pPr>
              <w:spacing w:before="80" w:after="80"/>
            </w:pPr>
            <w:r>
              <w:rPr>
                <w:rFonts w:ascii="Arial" w:eastAsia="Arial" w:hAnsi="Arial" w:cs="Arial"/>
                <w:color w:val="000000"/>
                <w:sz w:val="20"/>
                <w:szCs w:val="20"/>
              </w:rPr>
              <w:t>IAM + Directory Service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7715EF2D" w14:textId="77777777" w:rsidR="004173D2" w:rsidRDefault="004173D2" w:rsidP="004C267E">
            <w:pPr>
              <w:spacing w:before="80" w:after="80"/>
            </w:pPr>
            <w:r>
              <w:rPr>
                <w:rFonts w:ascii="Arial" w:eastAsia="Arial" w:hAnsi="Arial" w:cs="Arial"/>
                <w:color w:val="000000"/>
                <w:sz w:val="20"/>
                <w:szCs w:val="20"/>
              </w:rPr>
              <w:t>Sécurité et gestion unifiée des identités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1F85766E" w14:textId="77777777" w:rsidR="004173D2" w:rsidRDefault="004173D2" w:rsidP="004C267E">
            <w:pPr>
              <w:spacing w:before="80" w:after="80"/>
            </w:pPr>
            <w:r>
              <w:rPr>
                <w:rFonts w:ascii="Arial" w:eastAsia="Arial" w:hAnsi="Arial" w:cs="Arial"/>
                <w:color w:val="000000"/>
                <w:sz w:val="20"/>
                <w:szCs w:val="20"/>
              </w:rPr>
              <w:t>Extension AD on-</w:t>
            </w:r>
            <w:proofErr w:type="spellStart"/>
            <w:r>
              <w:rPr>
                <w:rFonts w:ascii="Arial" w:eastAsia="Arial" w:hAnsi="Arial" w:cs="Arial"/>
                <w:color w:val="000000"/>
                <w:sz w:val="20"/>
                <w:szCs w:val="20"/>
              </w:rPr>
              <w:t>premise</w:t>
            </w:r>
            <w:proofErr w:type="spellEnd"/>
            <w:r>
              <w:rPr>
                <w:rFonts w:ascii="Arial" w:eastAsia="Arial" w:hAnsi="Arial" w:cs="Arial"/>
                <w:color w:val="000000"/>
                <w:sz w:val="20"/>
                <w:szCs w:val="20"/>
              </w:rPr>
              <w:t xml:space="preserve">, trust </w:t>
            </w:r>
            <w:proofErr w:type="spellStart"/>
            <w:r>
              <w:rPr>
                <w:rFonts w:ascii="Arial" w:eastAsia="Arial" w:hAnsi="Arial" w:cs="Arial"/>
                <w:color w:val="000000"/>
                <w:sz w:val="20"/>
                <w:szCs w:val="20"/>
              </w:rPr>
              <w:t>relationship</w:t>
            </w:r>
            <w:proofErr w:type="spellEnd"/>
            <w:r>
              <w:rPr>
                <w:rFonts w:ascii="Arial" w:eastAsia="Arial" w:hAnsi="Arial" w:cs="Arial"/>
                <w:color w:val="000000"/>
                <w:sz w:val="20"/>
                <w:szCs w:val="20"/>
              </w:rPr>
              <w:t>, SSO fédéré</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5E1D0EC9" w14:textId="77777777" w:rsidR="004173D2" w:rsidRDefault="004173D2" w:rsidP="004C267E">
            <w:pPr>
              <w:spacing w:before="80" w:after="80"/>
            </w:pPr>
            <w:r>
              <w:rPr>
                <w:rFonts w:ascii="Arial" w:eastAsia="Arial" w:hAnsi="Arial" w:cs="Arial"/>
                <w:color w:val="000000"/>
                <w:sz w:val="20"/>
                <w:szCs w:val="20"/>
              </w:rPr>
              <w:t>—</w:t>
            </w:r>
          </w:p>
        </w:tc>
      </w:tr>
      <w:tr w:rsidR="004173D2" w14:paraId="5A3CBAD5" w14:textId="77777777" w:rsidTr="004C267E">
        <w:tblPrEx>
          <w:tblCellMar>
            <w:top w:w="0" w:type="dxa"/>
            <w:bottom w:w="0" w:type="dxa"/>
          </w:tblCellMar>
        </w:tblPrEx>
        <w:tc>
          <w:tcPr>
            <w:tcW w:w="19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25133BD8" w14:textId="77777777" w:rsidR="004173D2" w:rsidRDefault="004173D2" w:rsidP="004C267E">
            <w:pPr>
              <w:spacing w:before="80" w:after="80"/>
            </w:pPr>
            <w:r>
              <w:rPr>
                <w:rFonts w:ascii="Arial" w:eastAsia="Arial" w:hAnsi="Arial" w:cs="Arial"/>
                <w:color w:val="000000"/>
                <w:sz w:val="20"/>
                <w:szCs w:val="20"/>
              </w:rPr>
              <w:t xml:space="preserve">Amazon </w:t>
            </w:r>
            <w:proofErr w:type="spellStart"/>
            <w:r>
              <w:rPr>
                <w:rFonts w:ascii="Arial" w:eastAsia="Arial" w:hAnsi="Arial" w:cs="Arial"/>
                <w:color w:val="000000"/>
                <w:sz w:val="20"/>
                <w:szCs w:val="20"/>
              </w:rPr>
              <w:t>CloudWatch</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6DEBA26F" w14:textId="77777777" w:rsidR="004173D2" w:rsidRDefault="004173D2" w:rsidP="004C267E">
            <w:pPr>
              <w:spacing w:before="80" w:after="80"/>
            </w:pPr>
            <w:r>
              <w:rPr>
                <w:rFonts w:ascii="Arial" w:eastAsia="Arial" w:hAnsi="Arial" w:cs="Arial"/>
                <w:color w:val="000000"/>
                <w:sz w:val="20"/>
                <w:szCs w:val="20"/>
              </w:rPr>
              <w:t>Monitoring, alertes, suivi des coûts</w:t>
            </w:r>
          </w:p>
        </w:tc>
        <w:tc>
          <w:tcPr>
            <w:tcW w:w="30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03C37BC8" w14:textId="77777777" w:rsidR="004173D2" w:rsidRDefault="004173D2" w:rsidP="004C267E">
            <w:pPr>
              <w:spacing w:before="80" w:after="80"/>
            </w:pPr>
            <w:r>
              <w:rPr>
                <w:rFonts w:ascii="Arial" w:eastAsia="Arial" w:hAnsi="Arial" w:cs="Arial"/>
                <w:color w:val="000000"/>
                <w:sz w:val="20"/>
                <w:szCs w:val="20"/>
              </w:rPr>
              <w:t>Intégration native tous services AWS, alertes configurables</w:t>
            </w:r>
          </w:p>
        </w:tc>
        <w:tc>
          <w:tcPr>
            <w:tcW w:w="20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7D705A14" w14:textId="77777777" w:rsidR="004173D2" w:rsidRDefault="004173D2" w:rsidP="004C267E">
            <w:pPr>
              <w:spacing w:before="80" w:after="80"/>
            </w:pPr>
            <w:r>
              <w:rPr>
                <w:rFonts w:ascii="Arial" w:eastAsia="Arial" w:hAnsi="Arial" w:cs="Arial"/>
                <w:color w:val="000000"/>
                <w:sz w:val="20"/>
                <w:szCs w:val="20"/>
              </w:rPr>
              <w:t>Logs terminal</w:t>
            </w:r>
          </w:p>
        </w:tc>
      </w:tr>
    </w:tbl>
    <w:p w14:paraId="1AB79083" w14:textId="77777777" w:rsidR="00992659" w:rsidRDefault="00992659" w:rsidP="00992659"/>
    <w:p w14:paraId="3E003646" w14:textId="3437F32D" w:rsidR="004173D2" w:rsidRPr="00507EE0" w:rsidRDefault="00507EE0" w:rsidP="00992659">
      <w:pPr>
        <w:rPr>
          <w:sz w:val="32"/>
          <w:szCs w:val="32"/>
        </w:rPr>
      </w:pPr>
      <w:r w:rsidRPr="00507EE0">
        <w:rPr>
          <w:rStyle w:val="lev"/>
          <w:sz w:val="32"/>
          <w:szCs w:val="32"/>
        </w:rPr>
        <w:t xml:space="preserve">3. </w:t>
      </w:r>
      <w:r w:rsidRPr="00507EE0">
        <w:rPr>
          <w:rStyle w:val="lev"/>
          <w:sz w:val="32"/>
          <w:szCs w:val="32"/>
        </w:rPr>
        <w:t>Sécurité et conformité</w:t>
      </w:r>
    </w:p>
    <w:p w14:paraId="22DE5499" w14:textId="77777777" w:rsidR="004173D2" w:rsidRDefault="004173D2" w:rsidP="004173D2">
      <w:pPr>
        <w:pStyle w:val="font-claude-response-body"/>
      </w:pPr>
      <w:r>
        <w:rPr>
          <w:rStyle w:val="lev"/>
        </w:rPr>
        <w:t>3.1 Protection des flux de données sensibles</w:t>
      </w:r>
    </w:p>
    <w:p w14:paraId="71D67DFB" w14:textId="0A15C321" w:rsidR="004173D2" w:rsidRDefault="004173D2" w:rsidP="004173D2">
      <w:pPr>
        <w:pStyle w:val="font-claude-response-body"/>
      </w:pPr>
      <w:r>
        <w:t>L'ensemble des données transitant entre l'environnement on-</w:t>
      </w:r>
      <w:proofErr w:type="spellStart"/>
      <w:r>
        <w:t>premise</w:t>
      </w:r>
      <w:proofErr w:type="spellEnd"/>
      <w:r>
        <w:t xml:space="preserve"> et AWS sont considérées comme sensibles. Un chiffrement de bout en bout est appliqué aussi bien en transit qu'au repos. Les données stockées dans S3 sont chiffrées via SSE-KMS, et les bases SQL Server répliquées par AWS DMS bénéficient du chiffrement natif TDE (Transparent Data </w:t>
      </w:r>
      <w:proofErr w:type="spellStart"/>
      <w:r>
        <w:t>Encryption</w:t>
      </w:r>
      <w:proofErr w:type="spellEnd"/>
      <w:r>
        <w:t>).</w:t>
      </w:r>
    </w:p>
    <w:p w14:paraId="4CABF527" w14:textId="77777777" w:rsidR="004173D2" w:rsidRDefault="004173D2" w:rsidP="004173D2">
      <w:pPr>
        <w:pStyle w:val="font-claude-response-body"/>
      </w:pPr>
      <w:r>
        <w:rPr>
          <w:rStyle w:val="lev"/>
        </w:rPr>
        <w:t xml:space="preserve">3.2 Sécurisation des communications (SSL/TLS, VPN </w:t>
      </w:r>
      <w:proofErr w:type="spellStart"/>
      <w:r>
        <w:rPr>
          <w:rStyle w:val="lev"/>
        </w:rPr>
        <w:t>IPSec</w:t>
      </w:r>
      <w:proofErr w:type="spellEnd"/>
      <w:r>
        <w:rPr>
          <w:rStyle w:val="lev"/>
        </w:rPr>
        <w:t xml:space="preserve">, Direct </w:t>
      </w:r>
      <w:proofErr w:type="spellStart"/>
      <w:r>
        <w:rPr>
          <w:rStyle w:val="lev"/>
        </w:rPr>
        <w:t>Connect</w:t>
      </w:r>
      <w:proofErr w:type="spellEnd"/>
      <w:r>
        <w:rPr>
          <w:rStyle w:val="lev"/>
        </w:rPr>
        <w:t>)</w:t>
      </w:r>
    </w:p>
    <w:p w14:paraId="293964A0" w14:textId="06FBDF73" w:rsidR="004173D2" w:rsidRDefault="004173D2" w:rsidP="004173D2">
      <w:pPr>
        <w:pStyle w:val="font-claude-response-body"/>
      </w:pPr>
      <w:proofErr w:type="spellStart"/>
      <w:r>
        <w:t>Redpanda</w:t>
      </w:r>
      <w:proofErr w:type="spellEnd"/>
      <w:r>
        <w:t xml:space="preserve"> supporte nativement SSL/TLS sur ses </w:t>
      </w:r>
      <w:proofErr w:type="spellStart"/>
      <w:r>
        <w:t>listeners</w:t>
      </w:r>
      <w:proofErr w:type="spellEnd"/>
      <w:r>
        <w:t>, garantissant le chiffrement des flux Kafka entre on-</w:t>
      </w:r>
      <w:proofErr w:type="spellStart"/>
      <w:r>
        <w:t>premise</w:t>
      </w:r>
      <w:proofErr w:type="spellEnd"/>
      <w:r>
        <w:t xml:space="preserve"> et MSK. La connectivité réseau est sécurisée via un tunnel VPN </w:t>
      </w:r>
      <w:proofErr w:type="spellStart"/>
      <w:r>
        <w:t>IPSec</w:t>
      </w:r>
      <w:proofErr w:type="spellEnd"/>
      <w:r>
        <w:t xml:space="preserve"> pour les échanges standards, ou AWS Direct </w:t>
      </w:r>
      <w:proofErr w:type="spellStart"/>
      <w:r>
        <w:t>Connect</w:t>
      </w:r>
      <w:proofErr w:type="spellEnd"/>
      <w:r>
        <w:t xml:space="preserve"> pour les flux critiques nécessitant une bande passante dédiée et une latence réduite.</w:t>
      </w:r>
    </w:p>
    <w:p w14:paraId="19D60ECA" w14:textId="77777777" w:rsidR="004173D2" w:rsidRDefault="004173D2" w:rsidP="004173D2">
      <w:pPr>
        <w:pStyle w:val="font-claude-response-body"/>
      </w:pPr>
      <w:r>
        <w:rPr>
          <w:rStyle w:val="lev"/>
        </w:rPr>
        <w:t>3.3 Gestion des identités entre Active Directory et AWS</w:t>
      </w:r>
    </w:p>
    <w:p w14:paraId="22594D8C" w14:textId="39311E21" w:rsidR="004173D2" w:rsidRDefault="004173D2" w:rsidP="004173D2">
      <w:pPr>
        <w:pStyle w:val="font-claude-response-body"/>
      </w:pPr>
      <w:r>
        <w:t xml:space="preserve">AWS </w:t>
      </w:r>
      <w:proofErr w:type="spellStart"/>
      <w:r>
        <w:t>Managed</w:t>
      </w:r>
      <w:proofErr w:type="spellEnd"/>
      <w:r>
        <w:t xml:space="preserve"> Microsoft AD permet d'établir une relation d'approbation (trust) avec l'AD on-</w:t>
      </w:r>
      <w:proofErr w:type="spellStart"/>
      <w:r>
        <w:t>premise</w:t>
      </w:r>
      <w:proofErr w:type="spellEnd"/>
      <w:r>
        <w:t xml:space="preserve">. Les utilisateurs s'authentifient avec leurs </w:t>
      </w:r>
      <w:proofErr w:type="spellStart"/>
      <w:r>
        <w:t>credentials</w:t>
      </w:r>
      <w:proofErr w:type="spellEnd"/>
      <w:r>
        <w:t xml:space="preserve"> existants via IAM Identity Center (SSO), qui mappe les groupes AD sur des rôles IAM. Cette fédération garantit une gestion des identités homogène entre les deux environnements sans double gestion des comptes.</w:t>
      </w:r>
    </w:p>
    <w:p w14:paraId="5700B74B" w14:textId="77777777" w:rsidR="004173D2" w:rsidRDefault="004173D2" w:rsidP="004173D2">
      <w:pPr>
        <w:pStyle w:val="font-claude-response-body"/>
      </w:pPr>
      <w:r>
        <w:rPr>
          <w:rStyle w:val="lev"/>
        </w:rPr>
        <w:t>3.4 Contrôle des accès et conformité</w:t>
      </w:r>
    </w:p>
    <w:p w14:paraId="5184A45E" w14:textId="77777777" w:rsidR="004173D2" w:rsidRDefault="004173D2" w:rsidP="004173D2">
      <w:pPr>
        <w:pStyle w:val="font-claude-response-body"/>
      </w:pPr>
      <w:r>
        <w:t xml:space="preserve">Les accès aux ressources AWS sont régis par des politiques IAM granulaires suivant le principe du moindre privilège. AWS </w:t>
      </w:r>
      <w:proofErr w:type="spellStart"/>
      <w:r>
        <w:t>CloudTrail</w:t>
      </w:r>
      <w:proofErr w:type="spellEnd"/>
      <w:r>
        <w:t xml:space="preserve"> enregistre l'ensemble des appels API pour l'audit et la traçabilité. AWS Config surveille en continu la conformité des ressources par rapport aux règles définies.</w:t>
      </w:r>
    </w:p>
    <w:p w14:paraId="51A8EF66" w14:textId="5326C4E8" w:rsidR="00507EE0" w:rsidRPr="00507EE0" w:rsidRDefault="00507EE0" w:rsidP="004173D2">
      <w:pPr>
        <w:pStyle w:val="font-claude-response-body"/>
        <w:rPr>
          <w:rStyle w:val="lev"/>
          <w:sz w:val="32"/>
          <w:szCs w:val="32"/>
        </w:rPr>
      </w:pPr>
      <w:r>
        <w:rPr>
          <w:rStyle w:val="lev"/>
          <w:sz w:val="32"/>
          <w:szCs w:val="32"/>
        </w:rPr>
        <w:t xml:space="preserve">4. </w:t>
      </w:r>
      <w:r w:rsidRPr="00507EE0">
        <w:rPr>
          <w:rStyle w:val="lev"/>
          <w:sz w:val="32"/>
          <w:szCs w:val="32"/>
        </w:rPr>
        <w:t>Interopérabilité avec le SI on-</w:t>
      </w:r>
      <w:proofErr w:type="spellStart"/>
      <w:r w:rsidRPr="00507EE0">
        <w:rPr>
          <w:rStyle w:val="lev"/>
          <w:sz w:val="32"/>
          <w:szCs w:val="32"/>
        </w:rPr>
        <w:t>premise</w:t>
      </w:r>
      <w:proofErr w:type="spellEnd"/>
    </w:p>
    <w:p w14:paraId="51ADD866" w14:textId="77777777" w:rsidR="00507EE0" w:rsidRDefault="00507EE0" w:rsidP="004173D2">
      <w:pPr>
        <w:pStyle w:val="font-claude-response-body"/>
      </w:pPr>
    </w:p>
    <w:p w14:paraId="25DCA2BB" w14:textId="77777777" w:rsidR="004173D2" w:rsidRDefault="004173D2" w:rsidP="004173D2">
      <w:pPr>
        <w:pStyle w:val="font-claude-response-body"/>
      </w:pPr>
      <w:r>
        <w:rPr>
          <w:rStyle w:val="lev"/>
        </w:rPr>
        <w:lastRenderedPageBreak/>
        <w:t xml:space="preserve">4.1 Intégration entre </w:t>
      </w:r>
      <w:proofErr w:type="spellStart"/>
      <w:r>
        <w:rPr>
          <w:rStyle w:val="lev"/>
        </w:rPr>
        <w:t>Redpanda</w:t>
      </w:r>
      <w:proofErr w:type="spellEnd"/>
      <w:r>
        <w:rPr>
          <w:rStyle w:val="lev"/>
        </w:rPr>
        <w:t xml:space="preserve"> et SQL Server</w:t>
      </w:r>
    </w:p>
    <w:p w14:paraId="01132ABC" w14:textId="1818F9AC" w:rsidR="004173D2" w:rsidRDefault="004173D2" w:rsidP="004173D2">
      <w:pPr>
        <w:pStyle w:val="font-claude-response-body"/>
      </w:pPr>
      <w:proofErr w:type="spellStart"/>
      <w:r>
        <w:t>Redpanda</w:t>
      </w:r>
      <w:proofErr w:type="spellEnd"/>
      <w:r>
        <w:t xml:space="preserve"> étant compatible avec l'API Kafka, le connecteur Kafka </w:t>
      </w:r>
      <w:proofErr w:type="spellStart"/>
      <w:r>
        <w:t>Connect</w:t>
      </w:r>
      <w:proofErr w:type="spellEnd"/>
      <w:r>
        <w:t xml:space="preserve"> JDBC capture les changements en temps réel depuis SQL Server via le mécanisme CDC (Change Data Capture). Ces événements sont publiés dans des topics </w:t>
      </w:r>
      <w:proofErr w:type="spellStart"/>
      <w:r>
        <w:t>Redpanda</w:t>
      </w:r>
      <w:proofErr w:type="spellEnd"/>
      <w:r>
        <w:t xml:space="preserve">, puis répliqués vers Amazon MSK via </w:t>
      </w:r>
      <w:proofErr w:type="spellStart"/>
      <w:r>
        <w:t>MirrorMaker</w:t>
      </w:r>
      <w:proofErr w:type="spellEnd"/>
      <w:r>
        <w:t xml:space="preserve"> 2, sans modification du code applicatif existant.</w:t>
      </w:r>
    </w:p>
    <w:p w14:paraId="575B12C9" w14:textId="77777777" w:rsidR="004173D2" w:rsidRDefault="004173D2" w:rsidP="004173D2">
      <w:pPr>
        <w:pStyle w:val="font-claude-response-body"/>
      </w:pPr>
      <w:r>
        <w:rPr>
          <w:rStyle w:val="lev"/>
        </w:rPr>
        <w:t>4.2 Compatibilité avec les systèmes existants</w:t>
      </w:r>
    </w:p>
    <w:p w14:paraId="1E0890AB" w14:textId="548BB742" w:rsidR="004173D2" w:rsidRDefault="004173D2" w:rsidP="004173D2">
      <w:pPr>
        <w:pStyle w:val="font-claude-response-body"/>
      </w:pPr>
      <w:r>
        <w:t xml:space="preserve">La compatibilité protocolaire entre </w:t>
      </w:r>
      <w:proofErr w:type="spellStart"/>
      <w:r>
        <w:t>Redpanda</w:t>
      </w:r>
      <w:proofErr w:type="spellEnd"/>
      <w:r>
        <w:t xml:space="preserve"> et MSK est totale au niveau de l'API Kafka. AWS DMS prend en charge SQL Server nativement comme source de réplication. Cette double compatibilité permet une intégration transparente sans migration forcée des systèmes on-</w:t>
      </w:r>
      <w:proofErr w:type="spellStart"/>
      <w:r>
        <w:t>premise</w:t>
      </w:r>
      <w:proofErr w:type="spellEnd"/>
      <w:r>
        <w:t>, qui continuent de fonctionner en parallèle pendant la transition.</w:t>
      </w:r>
    </w:p>
    <w:p w14:paraId="49A2B820" w14:textId="77777777" w:rsidR="004173D2" w:rsidRDefault="004173D2" w:rsidP="004173D2">
      <w:pPr>
        <w:pStyle w:val="font-claude-response-body"/>
      </w:pPr>
      <w:r>
        <w:rPr>
          <w:rStyle w:val="lev"/>
        </w:rPr>
        <w:t>4.3 Automatisation des flux de données</w:t>
      </w:r>
    </w:p>
    <w:p w14:paraId="4CD34B0B" w14:textId="6310FE2F" w:rsidR="004173D2" w:rsidRDefault="004173D2" w:rsidP="004173D2">
      <w:pPr>
        <w:pStyle w:val="font-claude-response-body"/>
      </w:pPr>
      <w:r>
        <w:t>Les pipelines sont entièrement automatisés : AWS Glue orchestre les transformations ETL, Lambda déclenche des traitements légers sur événements S3 ou MSK, et Amazon MWAA (</w:t>
      </w:r>
      <w:proofErr w:type="spellStart"/>
      <w:r>
        <w:t>Airflow</w:t>
      </w:r>
      <w:proofErr w:type="spellEnd"/>
      <w:r>
        <w:t>) planifie les jobs Spark sur EMR. Aucune intervention manuelle n'est nécessaire une fois les workflows configurés.</w:t>
      </w:r>
    </w:p>
    <w:p w14:paraId="60F2CD26" w14:textId="77777777" w:rsidR="004173D2" w:rsidRDefault="004173D2" w:rsidP="004173D2">
      <w:pPr>
        <w:pStyle w:val="font-claude-response-body"/>
      </w:pPr>
      <w:r>
        <w:rPr>
          <w:rStyle w:val="lev"/>
        </w:rPr>
        <w:t>4.4 Communication entre les composants locaux et cloud</w:t>
      </w:r>
    </w:p>
    <w:p w14:paraId="3EE79D6E" w14:textId="50E598E5" w:rsidR="004173D2" w:rsidRDefault="004173D2" w:rsidP="004173D2">
      <w:pPr>
        <w:pStyle w:val="font-claude-response-body"/>
      </w:pPr>
      <w:r>
        <w:t xml:space="preserve">La communication bidirectionnelle est assurée par le tunnel VPN </w:t>
      </w:r>
      <w:proofErr w:type="spellStart"/>
      <w:r>
        <w:t>IPSec</w:t>
      </w:r>
      <w:proofErr w:type="spellEnd"/>
      <w:r>
        <w:t xml:space="preserve"> ou Direct </w:t>
      </w:r>
      <w:proofErr w:type="spellStart"/>
      <w:r>
        <w:t>Connect</w:t>
      </w:r>
      <w:proofErr w:type="spellEnd"/>
      <w:r>
        <w:t xml:space="preserve">. Les flux de données IoT remontent vers MSK via </w:t>
      </w:r>
      <w:proofErr w:type="spellStart"/>
      <w:r>
        <w:t>Redpanda</w:t>
      </w:r>
      <w:proofErr w:type="spellEnd"/>
      <w:r>
        <w:t>, sont traités par EMR, puis stockés dans S3. En sens inverse, les résultats peuvent être renvoyés vers SQL Server via DMS pour alimenter les applications on-</w:t>
      </w:r>
      <w:proofErr w:type="spellStart"/>
      <w:r>
        <w:t>premise</w:t>
      </w:r>
      <w:proofErr w:type="spellEnd"/>
      <w:r>
        <w:t xml:space="preserve"> existantes.</w:t>
      </w:r>
    </w:p>
    <w:p w14:paraId="2FD36DFF" w14:textId="2C34C2DA" w:rsidR="00507EE0" w:rsidRPr="00507EE0" w:rsidRDefault="00507EE0" w:rsidP="004173D2">
      <w:pPr>
        <w:pStyle w:val="font-claude-response-body"/>
        <w:rPr>
          <w:sz w:val="32"/>
          <w:szCs w:val="32"/>
        </w:rPr>
      </w:pPr>
      <w:r w:rsidRPr="00507EE0">
        <w:rPr>
          <w:rStyle w:val="lev"/>
          <w:sz w:val="32"/>
          <w:szCs w:val="32"/>
        </w:rPr>
        <w:t xml:space="preserve">5. </w:t>
      </w:r>
      <w:r w:rsidRPr="00507EE0">
        <w:rPr>
          <w:rStyle w:val="lev"/>
          <w:sz w:val="32"/>
          <w:szCs w:val="32"/>
        </w:rPr>
        <w:t>Scalabilité et gestion des coûts</w:t>
      </w:r>
    </w:p>
    <w:p w14:paraId="568F6624" w14:textId="77777777" w:rsidR="004173D2" w:rsidRDefault="004173D2" w:rsidP="004173D2">
      <w:pPr>
        <w:pStyle w:val="font-claude-response-body"/>
      </w:pPr>
      <w:r>
        <w:rPr>
          <w:rStyle w:val="lev"/>
        </w:rPr>
        <w:t>5.1 Gestion de l'augmentation des volumes de données</w:t>
      </w:r>
    </w:p>
    <w:p w14:paraId="184ADE1E" w14:textId="681206F5" w:rsidR="004173D2" w:rsidRDefault="004173D2" w:rsidP="004173D2">
      <w:pPr>
        <w:pStyle w:val="font-claude-response-body"/>
      </w:pPr>
      <w:r>
        <w:t>Amazon S3 absorbe tout volume de données sans plafond ni intervention manuelle. EMR s'adapte dynamiquement via l'auto-</w:t>
      </w:r>
      <w:proofErr w:type="spellStart"/>
      <w:r>
        <w:t>scaling</w:t>
      </w:r>
      <w:proofErr w:type="spellEnd"/>
      <w:r>
        <w:t xml:space="preserve"> en ajoutant ou supprimant des nœuds selon la charge. MSK ajuste automatiquement le nombre de partitions Kafka. Cette élasticité garantit que l'architecture supporte la croissance des données sans refonte technique.</w:t>
      </w:r>
    </w:p>
    <w:p w14:paraId="0B37F17B" w14:textId="77777777" w:rsidR="004173D2" w:rsidRDefault="004173D2" w:rsidP="004173D2">
      <w:pPr>
        <w:pStyle w:val="font-claude-response-body"/>
      </w:pPr>
      <w:r>
        <w:rPr>
          <w:rStyle w:val="lev"/>
        </w:rPr>
        <w:t>5.2 Évolutivité pour les données IoT et les logs</w:t>
      </w:r>
    </w:p>
    <w:p w14:paraId="7D30E19E" w14:textId="58ACD8E9" w:rsidR="004173D2" w:rsidRDefault="004173D2" w:rsidP="004173D2">
      <w:pPr>
        <w:pStyle w:val="font-claude-response-body"/>
      </w:pPr>
      <w:r>
        <w:t xml:space="preserve">Les données IoT et logs sont ingérées en continu via </w:t>
      </w:r>
      <w:proofErr w:type="spellStart"/>
      <w:r>
        <w:t>Redpanda</w:t>
      </w:r>
      <w:proofErr w:type="spellEnd"/>
      <w:r>
        <w:t>/MSK et traitées par Spark sur EMR. Les données froides sont automatiquement archivées vers S3 Glacier via des politiques de cycle de vie, réduisant les coûts de stockage jusqu'à 80 %. Cette séparation stockage chaud/froid permet de gérer des volumes importants à moindre coût.</w:t>
      </w:r>
    </w:p>
    <w:p w14:paraId="574C6967" w14:textId="77777777" w:rsidR="004173D2" w:rsidRDefault="004173D2" w:rsidP="004173D2">
      <w:pPr>
        <w:pStyle w:val="font-claude-response-body"/>
      </w:pPr>
      <w:r>
        <w:rPr>
          <w:rStyle w:val="lev"/>
        </w:rPr>
        <w:t>5.3 Outils de surveillance des coûts</w:t>
      </w:r>
    </w:p>
    <w:p w14:paraId="297469C3" w14:textId="77777777" w:rsidR="004173D2" w:rsidRDefault="004173D2" w:rsidP="004173D2">
      <w:pPr>
        <w:pStyle w:val="font-claude-response-body"/>
        <w:numPr>
          <w:ilvl w:val="0"/>
          <w:numId w:val="1"/>
        </w:numPr>
      </w:pPr>
      <w:r>
        <w:rPr>
          <w:rStyle w:val="lev"/>
        </w:rPr>
        <w:t>AWS Budgets</w:t>
      </w:r>
      <w:r>
        <w:t xml:space="preserve"> : alertes configurées à 80 % et 100 % du budget mensuel par service</w:t>
      </w:r>
    </w:p>
    <w:p w14:paraId="720A3368" w14:textId="77777777" w:rsidR="004173D2" w:rsidRDefault="004173D2" w:rsidP="004173D2">
      <w:pPr>
        <w:pStyle w:val="font-claude-response-body"/>
        <w:numPr>
          <w:ilvl w:val="0"/>
          <w:numId w:val="1"/>
        </w:numPr>
      </w:pPr>
      <w:proofErr w:type="spellStart"/>
      <w:r>
        <w:rPr>
          <w:rStyle w:val="lev"/>
        </w:rPr>
        <w:t>CloudWatch</w:t>
      </w:r>
      <w:proofErr w:type="spellEnd"/>
      <w:r>
        <w:t xml:space="preserve"> : métriques de consommation en temps réel</w:t>
      </w:r>
    </w:p>
    <w:p w14:paraId="0C630742" w14:textId="77777777" w:rsidR="004173D2" w:rsidRDefault="004173D2" w:rsidP="004173D2">
      <w:pPr>
        <w:pStyle w:val="font-claude-response-body"/>
        <w:numPr>
          <w:ilvl w:val="0"/>
          <w:numId w:val="1"/>
        </w:numPr>
      </w:pPr>
      <w:r>
        <w:rPr>
          <w:rStyle w:val="lev"/>
        </w:rPr>
        <w:t>AWS Cost Explorer</w:t>
      </w:r>
      <w:r>
        <w:t xml:space="preserve"> : analyse rétrospective et prévisions de dépenses</w:t>
      </w:r>
    </w:p>
    <w:p w14:paraId="5C4F464F" w14:textId="199E9D62" w:rsidR="004173D2" w:rsidRDefault="004173D2" w:rsidP="004173D2">
      <w:pPr>
        <w:pStyle w:val="font-claude-response-body"/>
        <w:numPr>
          <w:ilvl w:val="0"/>
          <w:numId w:val="1"/>
        </w:numPr>
      </w:pPr>
      <w:proofErr w:type="spellStart"/>
      <w:r>
        <w:rPr>
          <w:rStyle w:val="lev"/>
        </w:rPr>
        <w:t>Trusted</w:t>
      </w:r>
      <w:proofErr w:type="spellEnd"/>
      <w:r>
        <w:rPr>
          <w:rStyle w:val="lev"/>
        </w:rPr>
        <w:t xml:space="preserve"> Advisor</w:t>
      </w:r>
      <w:r>
        <w:t xml:space="preserve"> : recommandations automatiques d'optimisation</w:t>
      </w:r>
    </w:p>
    <w:p w14:paraId="68493B9C" w14:textId="77777777" w:rsidR="004173D2" w:rsidRDefault="004173D2" w:rsidP="004173D2">
      <w:pPr>
        <w:pStyle w:val="font-claude-response-body"/>
      </w:pPr>
      <w:r>
        <w:rPr>
          <w:rStyle w:val="lev"/>
        </w:rPr>
        <w:lastRenderedPageBreak/>
        <w:t>5.4 Estimation des coûts initiaux et récurrents</w:t>
      </w:r>
    </w:p>
    <w:p w14:paraId="4077DB3C" w14:textId="77777777" w:rsidR="00507EE0" w:rsidRDefault="00507EE0" w:rsidP="00507EE0">
      <w:pPr>
        <w:spacing w:before="80" w:after="80"/>
      </w:pPr>
      <w:r>
        <w:rPr>
          <w:rFonts w:ascii="Arial" w:eastAsia="Arial" w:hAnsi="Arial" w:cs="Arial"/>
          <w:color w:val="000000"/>
          <w:sz w:val="22"/>
          <w:szCs w:val="22"/>
        </w:rPr>
        <w:t>Les estimations ci-dessous sont basées sur les volumes actuels d'</w:t>
      </w:r>
      <w:proofErr w:type="spellStart"/>
      <w:r>
        <w:rPr>
          <w:rFonts w:ascii="Arial" w:eastAsia="Arial" w:hAnsi="Arial" w:cs="Arial"/>
          <w:color w:val="000000"/>
          <w:sz w:val="22"/>
          <w:szCs w:val="22"/>
        </w:rPr>
        <w:t>InduTechData</w:t>
      </w:r>
      <w:proofErr w:type="spellEnd"/>
      <w:r>
        <w:rPr>
          <w:rFonts w:ascii="Arial" w:eastAsia="Arial" w:hAnsi="Arial" w:cs="Arial"/>
          <w:color w:val="000000"/>
          <w:sz w:val="22"/>
          <w:szCs w:val="22"/>
        </w:rPr>
        <w:t xml:space="preserve"> (+50 Go/mois IoT, 40 To SQL Server, cluster Spark 2-4 </w:t>
      </w:r>
      <w:proofErr w:type="spellStart"/>
      <w:r>
        <w:rPr>
          <w:rFonts w:ascii="Arial" w:eastAsia="Arial" w:hAnsi="Arial" w:cs="Arial"/>
          <w:color w:val="000000"/>
          <w:sz w:val="22"/>
          <w:szCs w:val="22"/>
        </w:rPr>
        <w:t>noeuds</w:t>
      </w:r>
      <w:proofErr w:type="spellEnd"/>
      <w:r>
        <w:rPr>
          <w:rFonts w:ascii="Arial" w:eastAsia="Arial" w:hAnsi="Arial" w:cs="Arial"/>
          <w:color w:val="000000"/>
          <w:sz w:val="22"/>
          <w:szCs w:val="22"/>
        </w:rPr>
        <w:t xml:space="preserve">). Elles sont indicatives et doivent être affinées via l'AWS Pricing </w:t>
      </w:r>
      <w:proofErr w:type="spellStart"/>
      <w:r>
        <w:rPr>
          <w:rFonts w:ascii="Arial" w:eastAsia="Arial" w:hAnsi="Arial" w:cs="Arial"/>
          <w:color w:val="000000"/>
          <w:sz w:val="22"/>
          <w:szCs w:val="22"/>
        </w:rPr>
        <w:t>Calculator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calculator.aws</w:t>
      </w:r>
      <w:proofErr w:type="spellEnd"/>
      <w:r>
        <w:rPr>
          <w:rFonts w:ascii="Arial" w:eastAsia="Arial" w:hAnsi="Arial" w:cs="Arial"/>
          <w:color w:val="000000"/>
          <w:sz w:val="22"/>
          <w:szCs w:val="22"/>
        </w:rPr>
        <w:t>).</w:t>
      </w:r>
    </w:p>
    <w:p w14:paraId="5122613E" w14:textId="77777777" w:rsidR="00507EE0" w:rsidRDefault="00507EE0" w:rsidP="00507EE0"/>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2000"/>
        <w:gridCol w:w="3200"/>
      </w:tblGrid>
      <w:tr w:rsidR="00507EE0" w14:paraId="069BDCA6" w14:textId="77777777" w:rsidTr="004C267E">
        <w:tblPrEx>
          <w:tblCellMar>
            <w:top w:w="0" w:type="dxa"/>
            <w:bottom w:w="0" w:type="dxa"/>
          </w:tblCellMar>
        </w:tblPrEx>
        <w:trPr>
          <w:tblHeader/>
        </w:trPr>
        <w:tc>
          <w:tcPr>
            <w:tcW w:w="2500" w:type="dxa"/>
            <w:tcBorders>
              <w:top w:val="single" w:sz="1" w:space="0" w:color="DDDDDD"/>
              <w:left w:val="single" w:sz="1" w:space="0" w:color="DDDDDD"/>
              <w:bottom w:val="single" w:sz="1" w:space="0" w:color="DDDDDD"/>
              <w:right w:val="single" w:sz="1" w:space="0" w:color="DDDDDD"/>
            </w:tcBorders>
            <w:shd w:val="clear" w:color="auto" w:fill="1F3864"/>
            <w:tcMar>
              <w:top w:w="100" w:type="dxa"/>
              <w:left w:w="140" w:type="dxa"/>
              <w:bottom w:w="100" w:type="dxa"/>
              <w:right w:w="80" w:type="dxa"/>
            </w:tcMar>
          </w:tcPr>
          <w:p w14:paraId="2EF95633" w14:textId="77777777" w:rsidR="00507EE0" w:rsidRDefault="00507EE0" w:rsidP="004C267E">
            <w:pPr>
              <w:spacing w:before="80" w:after="80"/>
            </w:pPr>
            <w:r>
              <w:rPr>
                <w:rFonts w:ascii="Arial" w:eastAsia="Arial" w:hAnsi="Arial" w:cs="Arial"/>
                <w:b/>
                <w:bCs/>
                <w:color w:val="FFFFFF"/>
                <w:sz w:val="20"/>
                <w:szCs w:val="20"/>
              </w:rPr>
              <w:t>Composant</w:t>
            </w:r>
          </w:p>
        </w:tc>
        <w:tc>
          <w:tcPr>
            <w:tcW w:w="1400" w:type="dxa"/>
            <w:tcBorders>
              <w:top w:val="single" w:sz="1" w:space="0" w:color="DDDDDD"/>
              <w:left w:val="single" w:sz="1" w:space="0" w:color="DDDDDD"/>
              <w:bottom w:val="single" w:sz="1" w:space="0" w:color="DDDDDD"/>
              <w:right w:val="single" w:sz="1" w:space="0" w:color="DDDDDD"/>
            </w:tcBorders>
            <w:shd w:val="clear" w:color="auto" w:fill="1F3864"/>
            <w:tcMar>
              <w:top w:w="100" w:type="dxa"/>
              <w:left w:w="140" w:type="dxa"/>
              <w:bottom w:w="100" w:type="dxa"/>
              <w:right w:w="80" w:type="dxa"/>
            </w:tcMar>
          </w:tcPr>
          <w:p w14:paraId="2E6CB1BA" w14:textId="77777777" w:rsidR="00507EE0" w:rsidRDefault="00507EE0" w:rsidP="004C267E">
            <w:pPr>
              <w:spacing w:before="80" w:after="80"/>
            </w:pPr>
            <w:r>
              <w:rPr>
                <w:rFonts w:ascii="Arial" w:eastAsia="Arial" w:hAnsi="Arial" w:cs="Arial"/>
                <w:b/>
                <w:bCs/>
                <w:color w:val="FFFFFF"/>
                <w:sz w:val="20"/>
                <w:szCs w:val="20"/>
              </w:rPr>
              <w:t>Type de coût</w:t>
            </w:r>
          </w:p>
        </w:tc>
        <w:tc>
          <w:tcPr>
            <w:tcW w:w="2000" w:type="dxa"/>
            <w:tcBorders>
              <w:top w:val="single" w:sz="1" w:space="0" w:color="DDDDDD"/>
              <w:left w:val="single" w:sz="1" w:space="0" w:color="DDDDDD"/>
              <w:bottom w:val="single" w:sz="1" w:space="0" w:color="DDDDDD"/>
              <w:right w:val="single" w:sz="1" w:space="0" w:color="DDDDDD"/>
            </w:tcBorders>
            <w:shd w:val="clear" w:color="auto" w:fill="1F3864"/>
            <w:tcMar>
              <w:top w:w="100" w:type="dxa"/>
              <w:left w:w="140" w:type="dxa"/>
              <w:bottom w:w="100" w:type="dxa"/>
              <w:right w:w="80" w:type="dxa"/>
            </w:tcMar>
          </w:tcPr>
          <w:p w14:paraId="1AEB0630" w14:textId="77777777" w:rsidR="00507EE0" w:rsidRDefault="00507EE0" w:rsidP="004C267E">
            <w:pPr>
              <w:spacing w:before="80" w:after="80"/>
            </w:pPr>
            <w:r>
              <w:rPr>
                <w:rFonts w:ascii="Arial" w:eastAsia="Arial" w:hAnsi="Arial" w:cs="Arial"/>
                <w:b/>
                <w:bCs/>
                <w:color w:val="FFFFFF"/>
                <w:sz w:val="20"/>
                <w:szCs w:val="20"/>
              </w:rPr>
              <w:t>Estimation mensuelle</w:t>
            </w:r>
          </w:p>
        </w:tc>
        <w:tc>
          <w:tcPr>
            <w:tcW w:w="3200" w:type="dxa"/>
            <w:tcBorders>
              <w:top w:val="single" w:sz="1" w:space="0" w:color="DDDDDD"/>
              <w:left w:val="single" w:sz="1" w:space="0" w:color="DDDDDD"/>
              <w:bottom w:val="single" w:sz="1" w:space="0" w:color="DDDDDD"/>
              <w:right w:val="single" w:sz="1" w:space="0" w:color="DDDDDD"/>
            </w:tcBorders>
            <w:shd w:val="clear" w:color="auto" w:fill="1F3864"/>
            <w:tcMar>
              <w:top w:w="100" w:type="dxa"/>
              <w:left w:w="140" w:type="dxa"/>
              <w:bottom w:w="100" w:type="dxa"/>
              <w:right w:w="80" w:type="dxa"/>
            </w:tcMar>
          </w:tcPr>
          <w:p w14:paraId="45591C34" w14:textId="77777777" w:rsidR="00507EE0" w:rsidRDefault="00507EE0" w:rsidP="004C267E">
            <w:pPr>
              <w:spacing w:before="80" w:after="80"/>
            </w:pPr>
            <w:r>
              <w:rPr>
                <w:rFonts w:ascii="Arial" w:eastAsia="Arial" w:hAnsi="Arial" w:cs="Arial"/>
                <w:b/>
                <w:bCs/>
                <w:color w:val="FFFFFF"/>
                <w:sz w:val="20"/>
                <w:szCs w:val="20"/>
              </w:rPr>
              <w:t>Base de calcul</w:t>
            </w:r>
          </w:p>
        </w:tc>
      </w:tr>
      <w:tr w:rsidR="00507EE0" w14:paraId="3A85F41F" w14:textId="77777777" w:rsidTr="004C267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246C730B" w14:textId="77777777" w:rsidR="00507EE0" w:rsidRDefault="00507EE0" w:rsidP="004C267E">
            <w:pPr>
              <w:spacing w:before="80" w:after="80"/>
            </w:pPr>
            <w:r>
              <w:rPr>
                <w:rFonts w:ascii="Arial" w:eastAsia="Arial" w:hAnsi="Arial" w:cs="Arial"/>
                <w:color w:val="000000"/>
                <w:sz w:val="20"/>
                <w:szCs w:val="20"/>
              </w:rPr>
              <w:t>Amazon MSK (Kafka managé)</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6F864350" w14:textId="77777777" w:rsidR="00507EE0" w:rsidRDefault="00507EE0" w:rsidP="004C267E">
            <w:pPr>
              <w:spacing w:before="80" w:after="80"/>
            </w:pPr>
            <w:r>
              <w:rPr>
                <w:rFonts w:ascii="Arial" w:eastAsia="Arial" w:hAnsi="Arial" w:cs="Arial"/>
                <w:color w:val="000000"/>
                <w:sz w:val="20"/>
                <w:szCs w:val="20"/>
              </w:rPr>
              <w:t>Récurrent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0CD1377F" w14:textId="77777777" w:rsidR="00507EE0" w:rsidRDefault="00507EE0" w:rsidP="004C267E">
            <w:pPr>
              <w:spacing w:before="80" w:after="80"/>
            </w:pPr>
            <w:r>
              <w:rPr>
                <w:rFonts w:ascii="Arial" w:eastAsia="Arial" w:hAnsi="Arial" w:cs="Arial"/>
                <w:color w:val="000000"/>
                <w:sz w:val="20"/>
                <w:szCs w:val="20"/>
              </w:rPr>
              <w:t>120 – 300 €</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514AB81C" w14:textId="77777777" w:rsidR="00507EE0" w:rsidRDefault="00507EE0" w:rsidP="004C267E">
            <w:pPr>
              <w:spacing w:before="80" w:after="80"/>
            </w:pPr>
            <w:r>
              <w:rPr>
                <w:rFonts w:ascii="Arial" w:eastAsia="Arial" w:hAnsi="Arial" w:cs="Arial"/>
                <w:color w:val="000000"/>
                <w:sz w:val="20"/>
                <w:szCs w:val="20"/>
              </w:rPr>
              <w:t>Volume messages, nb partitions, rétention 7j</w:t>
            </w:r>
          </w:p>
        </w:tc>
      </w:tr>
      <w:tr w:rsidR="00507EE0" w14:paraId="69B1509C" w14:textId="77777777" w:rsidTr="004C267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3FF31CF5" w14:textId="77777777" w:rsidR="00507EE0" w:rsidRDefault="00507EE0" w:rsidP="004C267E">
            <w:pPr>
              <w:spacing w:before="80" w:after="80"/>
            </w:pPr>
            <w:r>
              <w:rPr>
                <w:rFonts w:ascii="Arial" w:eastAsia="Arial" w:hAnsi="Arial" w:cs="Arial"/>
                <w:color w:val="000000"/>
                <w:sz w:val="20"/>
                <w:szCs w:val="20"/>
              </w:rPr>
              <w:t>Amazon S3 (Data Lake)</w:t>
            </w:r>
          </w:p>
        </w:tc>
        <w:tc>
          <w:tcPr>
            <w:tcW w:w="14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6CAAB8B8" w14:textId="77777777" w:rsidR="00507EE0" w:rsidRDefault="00507EE0" w:rsidP="004C267E">
            <w:pPr>
              <w:spacing w:before="80" w:after="80"/>
            </w:pPr>
            <w:r>
              <w:rPr>
                <w:rFonts w:ascii="Arial" w:eastAsia="Arial" w:hAnsi="Arial" w:cs="Arial"/>
                <w:color w:val="000000"/>
                <w:sz w:val="20"/>
                <w:szCs w:val="20"/>
              </w:rPr>
              <w:t>Récurrent</w:t>
            </w:r>
          </w:p>
        </w:tc>
        <w:tc>
          <w:tcPr>
            <w:tcW w:w="20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6C7D6340" w14:textId="77777777" w:rsidR="00507EE0" w:rsidRDefault="00507EE0" w:rsidP="004C267E">
            <w:pPr>
              <w:spacing w:before="80" w:after="80"/>
            </w:pPr>
            <w:r>
              <w:rPr>
                <w:rFonts w:ascii="Arial" w:eastAsia="Arial" w:hAnsi="Arial" w:cs="Arial"/>
                <w:color w:val="000000"/>
                <w:sz w:val="20"/>
                <w:szCs w:val="20"/>
              </w:rPr>
              <w:t>15 – 40 €</w:t>
            </w:r>
          </w:p>
        </w:tc>
        <w:tc>
          <w:tcPr>
            <w:tcW w:w="32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21558A8F" w14:textId="77777777" w:rsidR="00507EE0" w:rsidRDefault="00507EE0" w:rsidP="004C267E">
            <w:pPr>
              <w:spacing w:before="80" w:after="80"/>
            </w:pPr>
            <w:r>
              <w:rPr>
                <w:rFonts w:ascii="Arial" w:eastAsia="Arial" w:hAnsi="Arial" w:cs="Arial"/>
                <w:color w:val="000000"/>
                <w:sz w:val="20"/>
                <w:szCs w:val="20"/>
              </w:rPr>
              <w:t>50 Go initial + 50 Go/mois · format Parquet</w:t>
            </w:r>
          </w:p>
        </w:tc>
      </w:tr>
      <w:tr w:rsidR="00507EE0" w14:paraId="2B5F6C73" w14:textId="77777777" w:rsidTr="004C267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526E6782" w14:textId="77777777" w:rsidR="00507EE0" w:rsidRDefault="00507EE0" w:rsidP="004C267E">
            <w:pPr>
              <w:spacing w:before="80" w:after="80"/>
            </w:pPr>
            <w:r>
              <w:rPr>
                <w:rFonts w:ascii="Arial" w:eastAsia="Arial" w:hAnsi="Arial" w:cs="Arial"/>
                <w:color w:val="000000"/>
                <w:sz w:val="20"/>
                <w:szCs w:val="20"/>
              </w:rPr>
              <w:t>AWS EMR (Spark)</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7085C336" w14:textId="77777777" w:rsidR="00507EE0" w:rsidRDefault="00507EE0" w:rsidP="004C267E">
            <w:pPr>
              <w:spacing w:before="80" w:after="80"/>
            </w:pPr>
            <w:r>
              <w:rPr>
                <w:rFonts w:ascii="Arial" w:eastAsia="Arial" w:hAnsi="Arial" w:cs="Arial"/>
                <w:color w:val="000000"/>
                <w:sz w:val="20"/>
                <w:szCs w:val="20"/>
              </w:rPr>
              <w:t>Récurrent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569ED86A" w14:textId="77777777" w:rsidR="00507EE0" w:rsidRDefault="00507EE0" w:rsidP="004C267E">
            <w:pPr>
              <w:spacing w:before="80" w:after="80"/>
            </w:pPr>
            <w:r>
              <w:rPr>
                <w:rFonts w:ascii="Arial" w:eastAsia="Arial" w:hAnsi="Arial" w:cs="Arial"/>
                <w:color w:val="000000"/>
                <w:sz w:val="20"/>
                <w:szCs w:val="20"/>
              </w:rPr>
              <w:t>200 – 500 €</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26E146A2" w14:textId="77777777" w:rsidR="00507EE0" w:rsidRDefault="00507EE0" w:rsidP="004C267E">
            <w:pPr>
              <w:spacing w:before="80" w:after="80"/>
            </w:pPr>
            <w:r>
              <w:rPr>
                <w:rFonts w:ascii="Arial" w:eastAsia="Arial" w:hAnsi="Arial" w:cs="Arial"/>
                <w:color w:val="000000"/>
                <w:sz w:val="20"/>
                <w:szCs w:val="20"/>
              </w:rPr>
              <w:t xml:space="preserve">Cluster 2-4 </w:t>
            </w:r>
            <w:proofErr w:type="spellStart"/>
            <w:r>
              <w:rPr>
                <w:rFonts w:ascii="Arial" w:eastAsia="Arial" w:hAnsi="Arial" w:cs="Arial"/>
                <w:color w:val="000000"/>
                <w:sz w:val="20"/>
                <w:szCs w:val="20"/>
              </w:rPr>
              <w:t>noeuds</w:t>
            </w:r>
            <w:proofErr w:type="spellEnd"/>
            <w:r>
              <w:rPr>
                <w:rFonts w:ascii="Arial" w:eastAsia="Arial" w:hAnsi="Arial" w:cs="Arial"/>
                <w:color w:val="000000"/>
                <w:sz w:val="20"/>
                <w:szCs w:val="20"/>
              </w:rPr>
              <w:t xml:space="preserve"> m</w:t>
            </w:r>
            <w:proofErr w:type="gramStart"/>
            <w:r>
              <w:rPr>
                <w:rFonts w:ascii="Arial" w:eastAsia="Arial" w:hAnsi="Arial" w:cs="Arial"/>
                <w:color w:val="000000"/>
                <w:sz w:val="20"/>
                <w:szCs w:val="20"/>
              </w:rPr>
              <w:t>5.xlarge</w:t>
            </w:r>
            <w:proofErr w:type="gramEnd"/>
            <w:r>
              <w:rPr>
                <w:rFonts w:ascii="Arial" w:eastAsia="Arial" w:hAnsi="Arial" w:cs="Arial"/>
                <w:color w:val="000000"/>
                <w:sz w:val="20"/>
                <w:szCs w:val="20"/>
              </w:rPr>
              <w:t xml:space="preserve"> · Spot Instances</w:t>
            </w:r>
          </w:p>
        </w:tc>
      </w:tr>
      <w:tr w:rsidR="00507EE0" w14:paraId="60607A7E" w14:textId="77777777" w:rsidTr="004C267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06D04914" w14:textId="77777777" w:rsidR="00507EE0" w:rsidRDefault="00507EE0" w:rsidP="004C267E">
            <w:pPr>
              <w:spacing w:before="80" w:after="80"/>
            </w:pPr>
            <w:r>
              <w:rPr>
                <w:rFonts w:ascii="Arial" w:eastAsia="Arial" w:hAnsi="Arial" w:cs="Arial"/>
                <w:color w:val="000000"/>
                <w:sz w:val="20"/>
                <w:szCs w:val="20"/>
              </w:rPr>
              <w:t>Amazon Redshift</w:t>
            </w:r>
          </w:p>
        </w:tc>
        <w:tc>
          <w:tcPr>
            <w:tcW w:w="14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7F903ACF" w14:textId="77777777" w:rsidR="00507EE0" w:rsidRDefault="00507EE0" w:rsidP="004C267E">
            <w:pPr>
              <w:spacing w:before="80" w:after="80"/>
            </w:pPr>
            <w:r>
              <w:rPr>
                <w:rFonts w:ascii="Arial" w:eastAsia="Arial" w:hAnsi="Arial" w:cs="Arial"/>
                <w:color w:val="000000"/>
                <w:sz w:val="20"/>
                <w:szCs w:val="20"/>
              </w:rPr>
              <w:t>Récurrent</w:t>
            </w:r>
          </w:p>
        </w:tc>
        <w:tc>
          <w:tcPr>
            <w:tcW w:w="20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5B2D2064" w14:textId="77777777" w:rsidR="00507EE0" w:rsidRDefault="00507EE0" w:rsidP="004C267E">
            <w:pPr>
              <w:spacing w:before="80" w:after="80"/>
            </w:pPr>
            <w:r>
              <w:rPr>
                <w:rFonts w:ascii="Arial" w:eastAsia="Arial" w:hAnsi="Arial" w:cs="Arial"/>
                <w:color w:val="000000"/>
                <w:sz w:val="20"/>
                <w:szCs w:val="20"/>
              </w:rPr>
              <w:t>180 – 350 €</w:t>
            </w:r>
          </w:p>
        </w:tc>
        <w:tc>
          <w:tcPr>
            <w:tcW w:w="32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6D408CA5" w14:textId="77777777" w:rsidR="00507EE0" w:rsidRDefault="00507EE0" w:rsidP="004C267E">
            <w:pPr>
              <w:spacing w:before="80" w:after="80"/>
            </w:pPr>
            <w:r>
              <w:rPr>
                <w:rFonts w:ascii="Arial" w:eastAsia="Arial" w:hAnsi="Arial" w:cs="Arial"/>
                <w:color w:val="000000"/>
                <w:sz w:val="20"/>
                <w:szCs w:val="20"/>
              </w:rPr>
              <w:t xml:space="preserve">1 </w:t>
            </w:r>
            <w:proofErr w:type="spellStart"/>
            <w:r>
              <w:rPr>
                <w:rFonts w:ascii="Arial" w:eastAsia="Arial" w:hAnsi="Arial" w:cs="Arial"/>
                <w:color w:val="000000"/>
                <w:sz w:val="20"/>
                <w:szCs w:val="20"/>
              </w:rPr>
              <w:t>noeud</w:t>
            </w:r>
            <w:proofErr w:type="spellEnd"/>
            <w:r>
              <w:rPr>
                <w:rFonts w:ascii="Arial" w:eastAsia="Arial" w:hAnsi="Arial" w:cs="Arial"/>
                <w:color w:val="000000"/>
                <w:sz w:val="20"/>
                <w:szCs w:val="20"/>
              </w:rPr>
              <w:t xml:space="preserve"> dc2.large (évolutif vers </w:t>
            </w:r>
            <w:proofErr w:type="spellStart"/>
            <w:r>
              <w:rPr>
                <w:rFonts w:ascii="Arial" w:eastAsia="Arial" w:hAnsi="Arial" w:cs="Arial"/>
                <w:color w:val="000000"/>
                <w:sz w:val="20"/>
                <w:szCs w:val="20"/>
              </w:rPr>
              <w:t>Serverless</w:t>
            </w:r>
            <w:proofErr w:type="spellEnd"/>
            <w:r>
              <w:rPr>
                <w:rFonts w:ascii="Arial" w:eastAsia="Arial" w:hAnsi="Arial" w:cs="Arial"/>
                <w:color w:val="000000"/>
                <w:sz w:val="20"/>
                <w:szCs w:val="20"/>
              </w:rPr>
              <w:t>)</w:t>
            </w:r>
          </w:p>
        </w:tc>
      </w:tr>
      <w:tr w:rsidR="00507EE0" w14:paraId="1BC9B0C9" w14:textId="77777777" w:rsidTr="004C267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70482AD5" w14:textId="77777777" w:rsidR="00507EE0" w:rsidRDefault="00507EE0" w:rsidP="004C267E">
            <w:pPr>
              <w:spacing w:before="80" w:after="80"/>
            </w:pPr>
            <w:r>
              <w:rPr>
                <w:rFonts w:ascii="Arial" w:eastAsia="Arial" w:hAnsi="Arial" w:cs="Arial"/>
                <w:color w:val="000000"/>
                <w:sz w:val="20"/>
                <w:szCs w:val="20"/>
              </w:rPr>
              <w:t>AWS DMS (réplication CDC)</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1BA01F46" w14:textId="77777777" w:rsidR="00507EE0" w:rsidRDefault="00507EE0" w:rsidP="004C267E">
            <w:pPr>
              <w:spacing w:before="80" w:after="80"/>
            </w:pPr>
            <w:r>
              <w:rPr>
                <w:rFonts w:ascii="Arial" w:eastAsia="Arial" w:hAnsi="Arial" w:cs="Arial"/>
                <w:color w:val="000000"/>
                <w:sz w:val="20"/>
                <w:szCs w:val="20"/>
              </w:rPr>
              <w:t>Récurrent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68DC7780" w14:textId="77777777" w:rsidR="00507EE0" w:rsidRDefault="00507EE0" w:rsidP="004C267E">
            <w:pPr>
              <w:spacing w:before="80" w:after="80"/>
            </w:pPr>
            <w:r>
              <w:rPr>
                <w:rFonts w:ascii="Arial" w:eastAsia="Arial" w:hAnsi="Arial" w:cs="Arial"/>
                <w:color w:val="000000"/>
                <w:sz w:val="20"/>
                <w:szCs w:val="20"/>
              </w:rPr>
              <w:t>50 – 100 €</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6CE156BE" w14:textId="77777777" w:rsidR="00507EE0" w:rsidRDefault="00507EE0" w:rsidP="004C267E">
            <w:pPr>
              <w:spacing w:before="80" w:after="80"/>
            </w:pPr>
            <w:r>
              <w:rPr>
                <w:rFonts w:ascii="Arial" w:eastAsia="Arial" w:hAnsi="Arial" w:cs="Arial"/>
                <w:color w:val="000000"/>
                <w:sz w:val="20"/>
                <w:szCs w:val="20"/>
              </w:rPr>
              <w:t>Instance t</w:t>
            </w:r>
            <w:proofErr w:type="gramStart"/>
            <w:r>
              <w:rPr>
                <w:rFonts w:ascii="Arial" w:eastAsia="Arial" w:hAnsi="Arial" w:cs="Arial"/>
                <w:color w:val="000000"/>
                <w:sz w:val="20"/>
                <w:szCs w:val="20"/>
              </w:rPr>
              <w:t>3.medium</w:t>
            </w:r>
            <w:proofErr w:type="gramEnd"/>
            <w:r>
              <w:rPr>
                <w:rFonts w:ascii="Arial" w:eastAsia="Arial" w:hAnsi="Arial" w:cs="Arial"/>
                <w:color w:val="000000"/>
                <w:sz w:val="20"/>
                <w:szCs w:val="20"/>
              </w:rPr>
              <w:t xml:space="preserve"> + volume données répliquées</w:t>
            </w:r>
          </w:p>
        </w:tc>
      </w:tr>
      <w:tr w:rsidR="00507EE0" w14:paraId="315B8B1E" w14:textId="77777777" w:rsidTr="004C267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238FC8F1" w14:textId="77777777" w:rsidR="00507EE0" w:rsidRDefault="00507EE0" w:rsidP="004C267E">
            <w:pPr>
              <w:spacing w:before="80" w:after="80"/>
            </w:pPr>
            <w:r>
              <w:rPr>
                <w:rFonts w:ascii="Arial" w:eastAsia="Arial" w:hAnsi="Arial" w:cs="Arial"/>
                <w:color w:val="000000"/>
                <w:sz w:val="20"/>
                <w:szCs w:val="20"/>
              </w:rPr>
              <w:t>AWS Directory Service</w:t>
            </w:r>
          </w:p>
        </w:tc>
        <w:tc>
          <w:tcPr>
            <w:tcW w:w="14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5E1C88AF" w14:textId="77777777" w:rsidR="00507EE0" w:rsidRDefault="00507EE0" w:rsidP="004C267E">
            <w:pPr>
              <w:spacing w:before="80" w:after="80"/>
            </w:pPr>
            <w:r>
              <w:rPr>
                <w:rFonts w:ascii="Arial" w:eastAsia="Arial" w:hAnsi="Arial" w:cs="Arial"/>
                <w:color w:val="000000"/>
                <w:sz w:val="20"/>
                <w:szCs w:val="20"/>
              </w:rPr>
              <w:t>Récurrent</w:t>
            </w:r>
          </w:p>
        </w:tc>
        <w:tc>
          <w:tcPr>
            <w:tcW w:w="20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07B49831" w14:textId="77777777" w:rsidR="00507EE0" w:rsidRDefault="00507EE0" w:rsidP="004C267E">
            <w:pPr>
              <w:spacing w:before="80" w:after="80"/>
            </w:pPr>
            <w:r>
              <w:rPr>
                <w:rFonts w:ascii="Arial" w:eastAsia="Arial" w:hAnsi="Arial" w:cs="Arial"/>
                <w:color w:val="000000"/>
                <w:sz w:val="20"/>
                <w:szCs w:val="20"/>
              </w:rPr>
              <w:t>80 – 120 €</w:t>
            </w:r>
          </w:p>
        </w:tc>
        <w:tc>
          <w:tcPr>
            <w:tcW w:w="32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363F3185" w14:textId="77777777" w:rsidR="00507EE0" w:rsidRDefault="00507EE0" w:rsidP="004C267E">
            <w:pPr>
              <w:spacing w:before="80" w:after="80"/>
            </w:pPr>
            <w:r>
              <w:rPr>
                <w:rFonts w:ascii="Arial" w:eastAsia="Arial" w:hAnsi="Arial" w:cs="Arial"/>
                <w:color w:val="000000"/>
                <w:sz w:val="20"/>
                <w:szCs w:val="20"/>
              </w:rPr>
              <w:t>2 contrôleurs de domaine (haute disponibilité)</w:t>
            </w:r>
          </w:p>
        </w:tc>
      </w:tr>
      <w:tr w:rsidR="00507EE0" w14:paraId="745765A5" w14:textId="77777777" w:rsidTr="004C267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1FF4C289" w14:textId="77777777" w:rsidR="00507EE0" w:rsidRDefault="00507EE0" w:rsidP="004C267E">
            <w:pPr>
              <w:spacing w:before="80" w:after="80"/>
            </w:pPr>
            <w:r>
              <w:rPr>
                <w:rFonts w:ascii="Arial" w:eastAsia="Arial" w:hAnsi="Arial" w:cs="Arial"/>
                <w:color w:val="000000"/>
                <w:sz w:val="20"/>
                <w:szCs w:val="20"/>
              </w:rPr>
              <w:t xml:space="preserve">VPN / Direct </w:t>
            </w:r>
            <w:proofErr w:type="spellStart"/>
            <w:r>
              <w:rPr>
                <w:rFonts w:ascii="Arial" w:eastAsia="Arial" w:hAnsi="Arial" w:cs="Arial"/>
                <w:color w:val="000000"/>
                <w:sz w:val="20"/>
                <w:szCs w:val="20"/>
              </w:rPr>
              <w:t>Connect</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0BD7C3EF" w14:textId="77777777" w:rsidR="00507EE0" w:rsidRDefault="00507EE0" w:rsidP="004C267E">
            <w:pPr>
              <w:spacing w:before="80" w:after="80"/>
            </w:pPr>
            <w:r>
              <w:rPr>
                <w:rFonts w:ascii="Arial" w:eastAsia="Arial" w:hAnsi="Arial" w:cs="Arial"/>
                <w:color w:val="000000"/>
                <w:sz w:val="20"/>
                <w:szCs w:val="20"/>
              </w:rPr>
              <w:t>Mixte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6F846A35" w14:textId="77777777" w:rsidR="00507EE0" w:rsidRDefault="00507EE0" w:rsidP="004C267E">
            <w:pPr>
              <w:spacing w:before="80" w:after="80"/>
            </w:pPr>
            <w:r>
              <w:rPr>
                <w:rFonts w:ascii="Arial" w:eastAsia="Arial" w:hAnsi="Arial" w:cs="Arial"/>
                <w:color w:val="000000"/>
                <w:sz w:val="20"/>
                <w:szCs w:val="20"/>
              </w:rPr>
              <w:t>50 – 200 €</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45EB70E9" w14:textId="77777777" w:rsidR="00507EE0" w:rsidRDefault="00507EE0" w:rsidP="004C267E">
            <w:pPr>
              <w:spacing w:before="80" w:after="80"/>
            </w:pPr>
            <w:r>
              <w:rPr>
                <w:rFonts w:ascii="Arial" w:eastAsia="Arial" w:hAnsi="Arial" w:cs="Arial"/>
                <w:color w:val="000000"/>
                <w:sz w:val="20"/>
                <w:szCs w:val="20"/>
              </w:rPr>
              <w:t xml:space="preserve">VPN ~50 € · Direct </w:t>
            </w:r>
            <w:proofErr w:type="spellStart"/>
            <w:r>
              <w:rPr>
                <w:rFonts w:ascii="Arial" w:eastAsia="Arial" w:hAnsi="Arial" w:cs="Arial"/>
                <w:color w:val="000000"/>
                <w:sz w:val="20"/>
                <w:szCs w:val="20"/>
              </w:rPr>
              <w:t>Connect</w:t>
            </w:r>
            <w:proofErr w:type="spellEnd"/>
            <w:r>
              <w:rPr>
                <w:rFonts w:ascii="Arial" w:eastAsia="Arial" w:hAnsi="Arial" w:cs="Arial"/>
                <w:color w:val="000000"/>
                <w:sz w:val="20"/>
                <w:szCs w:val="20"/>
              </w:rPr>
              <w:t xml:space="preserve"> plus onéreux mais stable</w:t>
            </w:r>
          </w:p>
        </w:tc>
      </w:tr>
      <w:tr w:rsidR="00507EE0" w14:paraId="750E1C53" w14:textId="77777777" w:rsidTr="004C267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57E36453" w14:textId="77777777" w:rsidR="00507EE0" w:rsidRDefault="00507EE0" w:rsidP="004C267E">
            <w:pPr>
              <w:spacing w:before="80" w:after="80"/>
            </w:pPr>
            <w:proofErr w:type="spellStart"/>
            <w:r>
              <w:rPr>
                <w:rFonts w:ascii="Arial" w:eastAsia="Arial" w:hAnsi="Arial" w:cs="Arial"/>
                <w:color w:val="000000"/>
                <w:sz w:val="20"/>
                <w:szCs w:val="20"/>
              </w:rPr>
              <w:t>CloudWatch</w:t>
            </w:r>
            <w:proofErr w:type="spellEnd"/>
            <w:r>
              <w:rPr>
                <w:rFonts w:ascii="Arial" w:eastAsia="Arial" w:hAnsi="Arial" w:cs="Arial"/>
                <w:color w:val="000000"/>
                <w:sz w:val="20"/>
                <w:szCs w:val="20"/>
              </w:rPr>
              <w:t xml:space="preserve"> + Budgets</w:t>
            </w:r>
          </w:p>
        </w:tc>
        <w:tc>
          <w:tcPr>
            <w:tcW w:w="14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498CA7E2" w14:textId="77777777" w:rsidR="00507EE0" w:rsidRDefault="00507EE0" w:rsidP="004C267E">
            <w:pPr>
              <w:spacing w:before="80" w:after="80"/>
            </w:pPr>
            <w:r>
              <w:rPr>
                <w:rFonts w:ascii="Arial" w:eastAsia="Arial" w:hAnsi="Arial" w:cs="Arial"/>
                <w:color w:val="000000"/>
                <w:sz w:val="20"/>
                <w:szCs w:val="20"/>
              </w:rPr>
              <w:t>Récurrent</w:t>
            </w:r>
          </w:p>
        </w:tc>
        <w:tc>
          <w:tcPr>
            <w:tcW w:w="20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341159E0" w14:textId="77777777" w:rsidR="00507EE0" w:rsidRDefault="00507EE0" w:rsidP="004C267E">
            <w:pPr>
              <w:spacing w:before="80" w:after="80"/>
            </w:pPr>
            <w:r>
              <w:rPr>
                <w:rFonts w:ascii="Arial" w:eastAsia="Arial" w:hAnsi="Arial" w:cs="Arial"/>
                <w:color w:val="000000"/>
                <w:sz w:val="20"/>
                <w:szCs w:val="20"/>
              </w:rPr>
              <w:t>10 – 30 €</w:t>
            </w:r>
          </w:p>
        </w:tc>
        <w:tc>
          <w:tcPr>
            <w:tcW w:w="32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18B1B8E0" w14:textId="77777777" w:rsidR="00507EE0" w:rsidRDefault="00507EE0" w:rsidP="004C267E">
            <w:pPr>
              <w:spacing w:before="80" w:after="80"/>
            </w:pPr>
            <w:r>
              <w:rPr>
                <w:rFonts w:ascii="Arial" w:eastAsia="Arial" w:hAnsi="Arial" w:cs="Arial"/>
                <w:color w:val="000000"/>
                <w:sz w:val="20"/>
                <w:szCs w:val="20"/>
              </w:rPr>
              <w:t xml:space="preserve">Métriques personnalisées, alertes, </w:t>
            </w:r>
            <w:proofErr w:type="spellStart"/>
            <w:r>
              <w:rPr>
                <w:rFonts w:ascii="Arial" w:eastAsia="Arial" w:hAnsi="Arial" w:cs="Arial"/>
                <w:color w:val="000000"/>
                <w:sz w:val="20"/>
                <w:szCs w:val="20"/>
              </w:rPr>
              <w:t>dashboards</w:t>
            </w:r>
            <w:proofErr w:type="spellEnd"/>
          </w:p>
        </w:tc>
      </w:tr>
      <w:tr w:rsidR="00507EE0" w14:paraId="17493EAF" w14:textId="77777777" w:rsidTr="004C267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396189C6" w14:textId="77777777" w:rsidR="00507EE0" w:rsidRDefault="00507EE0" w:rsidP="004C267E">
            <w:pPr>
              <w:spacing w:before="80" w:after="80"/>
            </w:pPr>
            <w:r>
              <w:rPr>
                <w:rFonts w:ascii="Arial" w:eastAsia="Arial" w:hAnsi="Arial" w:cs="Arial"/>
                <w:color w:val="000000"/>
                <w:sz w:val="20"/>
                <w:szCs w:val="20"/>
              </w:rPr>
              <w:t>AWS Lambda</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6DEF40E0" w14:textId="77777777" w:rsidR="00507EE0" w:rsidRDefault="00507EE0" w:rsidP="004C267E">
            <w:pPr>
              <w:spacing w:before="80" w:after="80"/>
            </w:pPr>
            <w:r>
              <w:rPr>
                <w:rFonts w:ascii="Arial" w:eastAsia="Arial" w:hAnsi="Arial" w:cs="Arial"/>
                <w:color w:val="000000"/>
                <w:sz w:val="20"/>
                <w:szCs w:val="20"/>
              </w:rPr>
              <w:t>Récurrent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0E98CA50" w14:textId="77777777" w:rsidR="00507EE0" w:rsidRDefault="00507EE0" w:rsidP="004C267E">
            <w:pPr>
              <w:spacing w:before="80" w:after="80"/>
            </w:pPr>
            <w:r>
              <w:rPr>
                <w:rFonts w:ascii="Arial" w:eastAsia="Arial" w:hAnsi="Arial" w:cs="Arial"/>
                <w:color w:val="000000"/>
                <w:sz w:val="20"/>
                <w:szCs w:val="20"/>
              </w:rPr>
              <w:t>&lt; 5 €</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80" w:type="dxa"/>
            </w:tcMar>
          </w:tcPr>
          <w:p w14:paraId="169618FC" w14:textId="77777777" w:rsidR="00507EE0" w:rsidRDefault="00507EE0" w:rsidP="004C267E">
            <w:pPr>
              <w:spacing w:before="80" w:after="80"/>
            </w:pPr>
            <w:r>
              <w:rPr>
                <w:rFonts w:ascii="Arial" w:eastAsia="Arial" w:hAnsi="Arial" w:cs="Arial"/>
                <w:color w:val="000000"/>
                <w:sz w:val="20"/>
                <w:szCs w:val="20"/>
              </w:rPr>
              <w:t>1 million de requêtes/mois offertes gratuitement</w:t>
            </w:r>
          </w:p>
        </w:tc>
      </w:tr>
      <w:tr w:rsidR="00507EE0" w14:paraId="42358501" w14:textId="77777777" w:rsidTr="004C267E">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6FF68FD2" w14:textId="77777777" w:rsidR="00507EE0" w:rsidRDefault="00507EE0" w:rsidP="004C267E">
            <w:pPr>
              <w:spacing w:before="80" w:after="80"/>
            </w:pPr>
            <w:r>
              <w:rPr>
                <w:rFonts w:ascii="Arial" w:eastAsia="Arial" w:hAnsi="Arial" w:cs="Arial"/>
                <w:color w:val="000000"/>
                <w:sz w:val="20"/>
                <w:szCs w:val="20"/>
              </w:rPr>
              <w:t>TOTAL ESTIMÉ</w:t>
            </w:r>
          </w:p>
        </w:tc>
        <w:tc>
          <w:tcPr>
            <w:tcW w:w="14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60F859BB" w14:textId="77777777" w:rsidR="00507EE0" w:rsidRDefault="00507EE0" w:rsidP="004C267E">
            <w:pPr>
              <w:spacing w:before="80" w:after="80"/>
            </w:pPr>
            <w:r>
              <w:rPr>
                <w:rFonts w:ascii="Arial" w:eastAsia="Arial" w:hAnsi="Arial" w:cs="Arial"/>
                <w:color w:val="000000"/>
                <w:sz w:val="20"/>
                <w:szCs w:val="20"/>
              </w:rPr>
              <w:t>Récurrent</w:t>
            </w:r>
          </w:p>
        </w:tc>
        <w:tc>
          <w:tcPr>
            <w:tcW w:w="20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32975119" w14:textId="77777777" w:rsidR="00507EE0" w:rsidRDefault="00507EE0" w:rsidP="004C267E">
            <w:pPr>
              <w:spacing w:before="80" w:after="80"/>
            </w:pPr>
            <w:r>
              <w:rPr>
                <w:rFonts w:ascii="Arial" w:eastAsia="Arial" w:hAnsi="Arial" w:cs="Arial"/>
                <w:color w:val="000000"/>
                <w:sz w:val="20"/>
                <w:szCs w:val="20"/>
              </w:rPr>
              <w:t>705 – 1 645 €/mois</w:t>
            </w:r>
          </w:p>
        </w:tc>
        <w:tc>
          <w:tcPr>
            <w:tcW w:w="3200" w:type="dxa"/>
            <w:tcBorders>
              <w:top w:val="single" w:sz="1" w:space="0" w:color="DDDDDD"/>
              <w:left w:val="single" w:sz="1" w:space="0" w:color="DDDDDD"/>
              <w:bottom w:val="single" w:sz="1" w:space="0" w:color="DDDDDD"/>
              <w:right w:val="single" w:sz="1" w:space="0" w:color="DDDDDD"/>
            </w:tcBorders>
            <w:shd w:val="clear" w:color="auto" w:fill="F4F4F4"/>
            <w:tcMar>
              <w:top w:w="90" w:type="dxa"/>
              <w:left w:w="140" w:type="dxa"/>
              <w:bottom w:w="90" w:type="dxa"/>
              <w:right w:w="80" w:type="dxa"/>
            </w:tcMar>
          </w:tcPr>
          <w:p w14:paraId="720EF0B7" w14:textId="77777777" w:rsidR="00507EE0" w:rsidRDefault="00507EE0" w:rsidP="004C267E">
            <w:pPr>
              <w:spacing w:before="80" w:after="80"/>
            </w:pPr>
            <w:r>
              <w:rPr>
                <w:rFonts w:ascii="Arial" w:eastAsia="Arial" w:hAnsi="Arial" w:cs="Arial"/>
                <w:color w:val="000000"/>
                <w:sz w:val="20"/>
                <w:szCs w:val="20"/>
              </w:rPr>
              <w:t>Hors coûts initiaux de migration et formation</w:t>
            </w:r>
          </w:p>
        </w:tc>
      </w:tr>
    </w:tbl>
    <w:p w14:paraId="1A3C6031" w14:textId="77777777" w:rsidR="00507EE0" w:rsidRDefault="00507EE0" w:rsidP="00507EE0"/>
    <w:p w14:paraId="0A47A0F3" w14:textId="7F31B3EA" w:rsidR="004173D2" w:rsidRPr="00507EE0" w:rsidRDefault="00507EE0" w:rsidP="00992659">
      <w:pPr>
        <w:rPr>
          <w:sz w:val="32"/>
          <w:szCs w:val="32"/>
        </w:rPr>
      </w:pPr>
      <w:r w:rsidRPr="00507EE0">
        <w:rPr>
          <w:rStyle w:val="lev"/>
          <w:sz w:val="32"/>
          <w:szCs w:val="32"/>
        </w:rPr>
        <w:t xml:space="preserve">6. </w:t>
      </w:r>
      <w:r w:rsidRPr="00507EE0">
        <w:rPr>
          <w:rStyle w:val="lev"/>
          <w:sz w:val="32"/>
          <w:szCs w:val="32"/>
        </w:rPr>
        <w:t>Analyse globale de compatibilité</w:t>
      </w:r>
    </w:p>
    <w:p w14:paraId="32BA8C6B" w14:textId="77777777" w:rsidR="00507EE0" w:rsidRDefault="00507EE0" w:rsidP="00507EE0">
      <w:pPr>
        <w:pStyle w:val="font-claude-response-body"/>
      </w:pPr>
      <w:r>
        <w:rPr>
          <w:rStyle w:val="lev"/>
        </w:rPr>
        <w:t>6.1 Avantages de l'architecture proposée</w:t>
      </w:r>
    </w:p>
    <w:p w14:paraId="39A9B62B" w14:textId="77777777" w:rsidR="00507EE0" w:rsidRDefault="00507EE0" w:rsidP="00507EE0">
      <w:pPr>
        <w:pStyle w:val="font-claude-response-body"/>
        <w:numPr>
          <w:ilvl w:val="0"/>
          <w:numId w:val="2"/>
        </w:numPr>
      </w:pPr>
      <w:r>
        <w:rPr>
          <w:rStyle w:val="lev"/>
        </w:rPr>
        <w:t>Compatibilité native</w:t>
      </w:r>
      <w:r>
        <w:t xml:space="preserve"> : </w:t>
      </w:r>
      <w:proofErr w:type="spellStart"/>
      <w:r>
        <w:t>Redpanda</w:t>
      </w:r>
      <w:proofErr w:type="spellEnd"/>
      <w:r>
        <w:t xml:space="preserve"> et MSK partagent la même API Kafka, aucune réécriture de code nécessaire</w:t>
      </w:r>
    </w:p>
    <w:p w14:paraId="3EBE6C88" w14:textId="77777777" w:rsidR="00507EE0" w:rsidRDefault="00507EE0" w:rsidP="00507EE0">
      <w:pPr>
        <w:pStyle w:val="font-claude-response-body"/>
        <w:numPr>
          <w:ilvl w:val="0"/>
          <w:numId w:val="2"/>
        </w:numPr>
      </w:pPr>
      <w:r>
        <w:rPr>
          <w:rStyle w:val="lev"/>
        </w:rPr>
        <w:t>Fédération AD transparente</w:t>
      </w:r>
      <w:r>
        <w:t xml:space="preserve"> : les utilisateurs conservent leurs </w:t>
      </w:r>
      <w:proofErr w:type="spellStart"/>
      <w:r>
        <w:t>credentials</w:t>
      </w:r>
      <w:proofErr w:type="spellEnd"/>
      <w:r>
        <w:t xml:space="preserve"> existants sans double gestion</w:t>
      </w:r>
    </w:p>
    <w:p w14:paraId="2A56803D" w14:textId="77777777" w:rsidR="00507EE0" w:rsidRDefault="00507EE0" w:rsidP="00507EE0">
      <w:pPr>
        <w:pStyle w:val="font-claude-response-body"/>
        <w:numPr>
          <w:ilvl w:val="0"/>
          <w:numId w:val="2"/>
        </w:numPr>
      </w:pPr>
      <w:r>
        <w:rPr>
          <w:rStyle w:val="lev"/>
        </w:rPr>
        <w:t>Élasticité à la demande</w:t>
      </w:r>
      <w:r>
        <w:t xml:space="preserve"> : EMR et MSK s'adaptent aux pics de charge sans </w:t>
      </w:r>
      <w:proofErr w:type="spellStart"/>
      <w:r>
        <w:t>sur-dimensionnement</w:t>
      </w:r>
      <w:proofErr w:type="spellEnd"/>
      <w:r>
        <w:t xml:space="preserve"> permanent</w:t>
      </w:r>
    </w:p>
    <w:p w14:paraId="53826E0A" w14:textId="77777777" w:rsidR="00507EE0" w:rsidRDefault="00507EE0" w:rsidP="00507EE0">
      <w:pPr>
        <w:pStyle w:val="font-claude-response-body"/>
        <w:numPr>
          <w:ilvl w:val="0"/>
          <w:numId w:val="2"/>
        </w:numPr>
      </w:pPr>
      <w:r>
        <w:rPr>
          <w:rStyle w:val="lev"/>
        </w:rPr>
        <w:lastRenderedPageBreak/>
        <w:t>Résilience des données</w:t>
      </w:r>
      <w:r>
        <w:t xml:space="preserve"> : S3 offre une durabilité de 99,999999999 %, éliminant le risque de perte</w:t>
      </w:r>
    </w:p>
    <w:p w14:paraId="7FB96029" w14:textId="50C0CBF3" w:rsidR="00507EE0" w:rsidRDefault="00507EE0" w:rsidP="00507EE0">
      <w:pPr>
        <w:pStyle w:val="font-claude-response-body"/>
        <w:numPr>
          <w:ilvl w:val="0"/>
          <w:numId w:val="2"/>
        </w:numPr>
      </w:pPr>
      <w:r>
        <w:rPr>
          <w:rStyle w:val="lev"/>
        </w:rPr>
        <w:t>Observabilité unifiée</w:t>
      </w:r>
      <w:r>
        <w:t xml:space="preserve"> : </w:t>
      </w:r>
      <w:proofErr w:type="spellStart"/>
      <w:r>
        <w:t>CloudWatch</w:t>
      </w:r>
      <w:proofErr w:type="spellEnd"/>
      <w:r>
        <w:t xml:space="preserve"> couvre on-</w:t>
      </w:r>
      <w:proofErr w:type="spellStart"/>
      <w:r>
        <w:t>premise</w:t>
      </w:r>
      <w:proofErr w:type="spellEnd"/>
      <w:r>
        <w:t xml:space="preserve"> et cloud dans un seul plan de contrôle</w:t>
      </w:r>
    </w:p>
    <w:p w14:paraId="05AAF66A" w14:textId="77777777" w:rsidR="00507EE0" w:rsidRDefault="00507EE0" w:rsidP="00507EE0">
      <w:pPr>
        <w:pStyle w:val="font-claude-response-body"/>
      </w:pPr>
      <w:r>
        <w:rPr>
          <w:rStyle w:val="lev"/>
        </w:rPr>
        <w:t>6.2 Limitations identifiées</w:t>
      </w:r>
    </w:p>
    <w:p w14:paraId="0ABBFB2E" w14:textId="77777777" w:rsidR="00507EE0" w:rsidRDefault="00507EE0" w:rsidP="00507EE0">
      <w:pPr>
        <w:pStyle w:val="font-claude-response-body"/>
        <w:numPr>
          <w:ilvl w:val="0"/>
          <w:numId w:val="3"/>
        </w:numPr>
      </w:pPr>
      <w:r>
        <w:rPr>
          <w:rStyle w:val="lev"/>
        </w:rPr>
        <w:t>Latence réseau</w:t>
      </w:r>
      <w:r>
        <w:t xml:space="preserve"> : la qualité du lien Direct </w:t>
      </w:r>
      <w:proofErr w:type="spellStart"/>
      <w:r>
        <w:t>Connect</w:t>
      </w:r>
      <w:proofErr w:type="spellEnd"/>
      <w:r>
        <w:t xml:space="preserve"> ou VPN impacte directement les flux temps réel</w:t>
      </w:r>
    </w:p>
    <w:p w14:paraId="689FCFCD" w14:textId="77777777" w:rsidR="00507EE0" w:rsidRDefault="00507EE0" w:rsidP="00507EE0">
      <w:pPr>
        <w:pStyle w:val="font-claude-response-body"/>
        <w:numPr>
          <w:ilvl w:val="0"/>
          <w:numId w:val="3"/>
        </w:numPr>
      </w:pPr>
      <w:r>
        <w:rPr>
          <w:rStyle w:val="lev"/>
        </w:rPr>
        <w:t>Complexité opérationnelle</w:t>
      </w:r>
      <w:r>
        <w:t xml:space="preserve"> : gérer un environnement hybride requiert des compétences AWS et on-</w:t>
      </w:r>
      <w:proofErr w:type="spellStart"/>
      <w:r>
        <w:t>premise</w:t>
      </w:r>
      <w:proofErr w:type="spellEnd"/>
      <w:r>
        <w:t xml:space="preserve"> en parallèle</w:t>
      </w:r>
    </w:p>
    <w:p w14:paraId="55F3DF3C" w14:textId="77777777" w:rsidR="00507EE0" w:rsidRDefault="00507EE0" w:rsidP="00507EE0">
      <w:pPr>
        <w:pStyle w:val="font-claude-response-body"/>
        <w:numPr>
          <w:ilvl w:val="0"/>
          <w:numId w:val="3"/>
        </w:numPr>
      </w:pPr>
      <w:r>
        <w:rPr>
          <w:rStyle w:val="lev"/>
        </w:rPr>
        <w:t>Coûts variables</w:t>
      </w:r>
      <w:r>
        <w:t xml:space="preserve"> : les clusters EMR peuvent générer des dépassements si mal dimensionnés</w:t>
      </w:r>
    </w:p>
    <w:p w14:paraId="1CC1A6DC" w14:textId="466E714A" w:rsidR="00507EE0" w:rsidRDefault="00507EE0" w:rsidP="00507EE0">
      <w:pPr>
        <w:pStyle w:val="font-claude-response-body"/>
        <w:numPr>
          <w:ilvl w:val="0"/>
          <w:numId w:val="3"/>
        </w:numPr>
      </w:pPr>
      <w:r>
        <w:rPr>
          <w:rStyle w:val="lev"/>
        </w:rPr>
        <w:t>Dépendance cloud</w:t>
      </w:r>
      <w:r>
        <w:t xml:space="preserve"> : toute interruption AWS affecte les traitements dépendants du cloud</w:t>
      </w:r>
    </w:p>
    <w:p w14:paraId="4C2AFC52" w14:textId="77777777" w:rsidR="00507EE0" w:rsidRDefault="00507EE0" w:rsidP="00507EE0">
      <w:pPr>
        <w:pStyle w:val="font-claude-response-body"/>
      </w:pPr>
      <w:r>
        <w:rPr>
          <w:rStyle w:val="lev"/>
        </w:rPr>
        <w:t>6.3 Points d'attention pour l'intégration</w:t>
      </w:r>
    </w:p>
    <w:p w14:paraId="281EAAAF" w14:textId="77777777" w:rsidR="00507EE0" w:rsidRDefault="00507EE0" w:rsidP="00507EE0">
      <w:pPr>
        <w:pStyle w:val="font-claude-response-body"/>
        <w:numPr>
          <w:ilvl w:val="0"/>
          <w:numId w:val="4"/>
        </w:numPr>
      </w:pPr>
      <w:r>
        <w:t xml:space="preserve">Tester la latence et le débit du tunnel VPN/Direct </w:t>
      </w:r>
      <w:proofErr w:type="spellStart"/>
      <w:r>
        <w:t>Connect</w:t>
      </w:r>
      <w:proofErr w:type="spellEnd"/>
      <w:r>
        <w:t xml:space="preserve"> avant la mise en production</w:t>
      </w:r>
    </w:p>
    <w:p w14:paraId="3B86CDB2" w14:textId="77777777" w:rsidR="00507EE0" w:rsidRDefault="00507EE0" w:rsidP="00507EE0">
      <w:pPr>
        <w:pStyle w:val="font-claude-response-body"/>
        <w:numPr>
          <w:ilvl w:val="0"/>
          <w:numId w:val="4"/>
        </w:numPr>
      </w:pPr>
      <w:r>
        <w:t>Appliquer le principe du moindre privilège sur toutes les politiques IAM</w:t>
      </w:r>
    </w:p>
    <w:p w14:paraId="3D8E0280" w14:textId="77777777" w:rsidR="00507EE0" w:rsidRDefault="00507EE0" w:rsidP="00507EE0">
      <w:pPr>
        <w:pStyle w:val="font-claude-response-body"/>
        <w:numPr>
          <w:ilvl w:val="0"/>
          <w:numId w:val="4"/>
        </w:numPr>
      </w:pPr>
      <w:r>
        <w:t>Prévoir une période de double-exécution (on-</w:t>
      </w:r>
      <w:proofErr w:type="spellStart"/>
      <w:r>
        <w:t>premise</w:t>
      </w:r>
      <w:proofErr w:type="spellEnd"/>
      <w:r>
        <w:t xml:space="preserve"> + cloud) pour valider la cohérence des données</w:t>
      </w:r>
    </w:p>
    <w:p w14:paraId="0C02C45E" w14:textId="77777777" w:rsidR="00507EE0" w:rsidRDefault="00507EE0" w:rsidP="00507EE0">
      <w:pPr>
        <w:pStyle w:val="font-claude-response-body"/>
        <w:numPr>
          <w:ilvl w:val="0"/>
          <w:numId w:val="4"/>
        </w:numPr>
      </w:pPr>
      <w:r>
        <w:t xml:space="preserve">Mettre en place les alertes </w:t>
      </w:r>
      <w:proofErr w:type="spellStart"/>
      <w:r>
        <w:t>CloudWatch</w:t>
      </w:r>
      <w:proofErr w:type="spellEnd"/>
      <w:r>
        <w:t xml:space="preserve"> et budgets AWS dès le premier jour</w:t>
      </w:r>
    </w:p>
    <w:p w14:paraId="7758B67A" w14:textId="73F3F768" w:rsidR="00507EE0" w:rsidRPr="00974084" w:rsidRDefault="00507EE0" w:rsidP="00507EE0">
      <w:pPr>
        <w:pStyle w:val="font-claude-response-body"/>
        <w:rPr>
          <w:sz w:val="32"/>
          <w:szCs w:val="32"/>
        </w:rPr>
      </w:pPr>
      <w:r w:rsidRPr="00974084">
        <w:rPr>
          <w:rStyle w:val="lev"/>
          <w:sz w:val="32"/>
          <w:szCs w:val="32"/>
        </w:rPr>
        <w:t xml:space="preserve">7. </w:t>
      </w:r>
      <w:r w:rsidRPr="00974084">
        <w:rPr>
          <w:rStyle w:val="lev"/>
          <w:sz w:val="32"/>
          <w:szCs w:val="32"/>
        </w:rPr>
        <w:t>Conclusion</w:t>
      </w:r>
    </w:p>
    <w:p w14:paraId="61051CDA" w14:textId="77777777" w:rsidR="00507EE0" w:rsidRDefault="00507EE0" w:rsidP="00507EE0">
      <w:pPr>
        <w:pStyle w:val="font-claude-response-body"/>
      </w:pPr>
      <w:r>
        <w:rPr>
          <w:rStyle w:val="lev"/>
        </w:rPr>
        <w:t>7.1 Synthèse de l'analyse réalisée</w:t>
      </w:r>
    </w:p>
    <w:p w14:paraId="13EA6D99" w14:textId="1C05D891" w:rsidR="00507EE0" w:rsidRDefault="00507EE0" w:rsidP="00507EE0">
      <w:pPr>
        <w:pStyle w:val="font-claude-response-body"/>
      </w:pPr>
      <w:r>
        <w:t>L'architecture hybride proposée est compatible avec le SI on-</w:t>
      </w:r>
      <w:proofErr w:type="spellStart"/>
      <w:r>
        <w:t>premise</w:t>
      </w:r>
      <w:proofErr w:type="spellEnd"/>
      <w:r>
        <w:t xml:space="preserve"> d'</w:t>
      </w:r>
      <w:proofErr w:type="spellStart"/>
      <w:r>
        <w:t>InduTechData</w:t>
      </w:r>
      <w:proofErr w:type="spellEnd"/>
      <w:r>
        <w:t xml:space="preserve">. La compatibilité protocolaire </w:t>
      </w:r>
      <w:proofErr w:type="spellStart"/>
      <w:r>
        <w:t>Redpanda</w:t>
      </w:r>
      <w:proofErr w:type="spellEnd"/>
      <w:r>
        <w:t>/MSK, la fédération AD native avec AWS et la maturité des services sélectionnés constituent des atouts solides. Les risques identifiés — latence réseau et complexité opérationnelle — sont maîtrisables avec une préparation rigoureuse. Le coût récurrent estimé entre 945 et 1 550 $/mois reste raisonnable au regard des gains en scalabilité et résilience.</w:t>
      </w:r>
    </w:p>
    <w:p w14:paraId="237B4932" w14:textId="77777777" w:rsidR="00507EE0" w:rsidRDefault="00507EE0" w:rsidP="00507EE0">
      <w:pPr>
        <w:pStyle w:val="font-claude-response-body"/>
      </w:pPr>
      <w:r>
        <w:rPr>
          <w:rStyle w:val="lev"/>
        </w:rPr>
        <w:t>7.2 Recommandations générales pour le déploiement</w:t>
      </w:r>
    </w:p>
    <w:p w14:paraId="4BB3C8FF" w14:textId="77777777" w:rsidR="00507EE0" w:rsidRDefault="00507EE0" w:rsidP="00507EE0">
      <w:pPr>
        <w:pStyle w:val="font-claude-response-body"/>
        <w:numPr>
          <w:ilvl w:val="0"/>
          <w:numId w:val="5"/>
        </w:numPr>
      </w:pPr>
      <w:r>
        <w:t xml:space="preserve">Privilégier </w:t>
      </w:r>
      <w:r>
        <w:rPr>
          <w:rStyle w:val="lev"/>
        </w:rPr>
        <w:t xml:space="preserve">AWS Direct </w:t>
      </w:r>
      <w:proofErr w:type="spellStart"/>
      <w:r>
        <w:rPr>
          <w:rStyle w:val="lev"/>
        </w:rPr>
        <w:t>Connect</w:t>
      </w:r>
      <w:proofErr w:type="spellEnd"/>
      <w:r>
        <w:t xml:space="preserve"> plutôt que VPN </w:t>
      </w:r>
      <w:proofErr w:type="spellStart"/>
      <w:r>
        <w:t>IPSec</w:t>
      </w:r>
      <w:proofErr w:type="spellEnd"/>
      <w:r>
        <w:t xml:space="preserve"> pour les flux critiques temps réel</w:t>
      </w:r>
    </w:p>
    <w:p w14:paraId="4B32C391" w14:textId="77777777" w:rsidR="00507EE0" w:rsidRDefault="00507EE0" w:rsidP="00507EE0">
      <w:pPr>
        <w:pStyle w:val="font-claude-response-body"/>
        <w:numPr>
          <w:ilvl w:val="0"/>
          <w:numId w:val="5"/>
        </w:numPr>
      </w:pPr>
      <w:r>
        <w:t xml:space="preserve">Adopter une </w:t>
      </w:r>
      <w:r>
        <w:rPr>
          <w:rStyle w:val="lev"/>
        </w:rPr>
        <w:t>migration progressive</w:t>
      </w:r>
      <w:r>
        <w:t xml:space="preserve"> : S3 + DMS en phase 1, EMR et MSK en phase 2</w:t>
      </w:r>
    </w:p>
    <w:p w14:paraId="75855ED9" w14:textId="77777777" w:rsidR="00507EE0" w:rsidRDefault="00507EE0" w:rsidP="00507EE0">
      <w:pPr>
        <w:pStyle w:val="font-claude-response-body"/>
        <w:numPr>
          <w:ilvl w:val="0"/>
          <w:numId w:val="5"/>
        </w:numPr>
      </w:pPr>
      <w:r>
        <w:t xml:space="preserve">Investir dans la </w:t>
      </w:r>
      <w:r>
        <w:rPr>
          <w:rStyle w:val="lev"/>
        </w:rPr>
        <w:t>formation des équipes</w:t>
      </w:r>
      <w:r>
        <w:t xml:space="preserve"> aux outils AWS (certification SAA-C03 recommandée)</w:t>
      </w:r>
    </w:p>
    <w:p w14:paraId="1894AE7C" w14:textId="77777777" w:rsidR="00507EE0" w:rsidRDefault="00507EE0" w:rsidP="00507EE0">
      <w:pPr>
        <w:pStyle w:val="font-claude-response-body"/>
        <w:numPr>
          <w:ilvl w:val="0"/>
          <w:numId w:val="5"/>
        </w:numPr>
      </w:pPr>
      <w:r>
        <w:t xml:space="preserve">Mettre en place une </w:t>
      </w:r>
      <w:r>
        <w:rPr>
          <w:rStyle w:val="lev"/>
        </w:rPr>
        <w:t>gouvernance des coûts</w:t>
      </w:r>
      <w:r>
        <w:t xml:space="preserve"> via AWS Organizations et des budgets par équipe dès le départ</w:t>
      </w:r>
    </w:p>
    <w:p w14:paraId="1AF68412" w14:textId="77777777" w:rsidR="00507EE0" w:rsidRDefault="00507EE0" w:rsidP="00507EE0">
      <w:pPr>
        <w:pStyle w:val="font-claude-response-body"/>
        <w:numPr>
          <w:ilvl w:val="0"/>
          <w:numId w:val="5"/>
        </w:numPr>
      </w:pPr>
      <w:r>
        <w:t xml:space="preserve">Réaliser un </w:t>
      </w:r>
      <w:r>
        <w:rPr>
          <w:rStyle w:val="lev"/>
        </w:rPr>
        <w:t>AWS Well-</w:t>
      </w:r>
      <w:proofErr w:type="spellStart"/>
      <w:r>
        <w:rPr>
          <w:rStyle w:val="lev"/>
        </w:rPr>
        <w:t>Architected</w:t>
      </w:r>
      <w:proofErr w:type="spellEnd"/>
      <w:r>
        <w:rPr>
          <w:rStyle w:val="lev"/>
        </w:rPr>
        <w:t xml:space="preserve"> </w:t>
      </w:r>
      <w:proofErr w:type="spellStart"/>
      <w:r>
        <w:rPr>
          <w:rStyle w:val="lev"/>
        </w:rPr>
        <w:t>Review</w:t>
      </w:r>
      <w:proofErr w:type="spellEnd"/>
      <w:r>
        <w:t xml:space="preserve"> avant le passage en production</w:t>
      </w:r>
    </w:p>
    <w:p w14:paraId="3370B026" w14:textId="77777777" w:rsidR="004173D2" w:rsidRDefault="004173D2" w:rsidP="00992659"/>
    <w:sectPr w:rsidR="004173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502E3"/>
    <w:multiLevelType w:val="multilevel"/>
    <w:tmpl w:val="F522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B7CBB"/>
    <w:multiLevelType w:val="multilevel"/>
    <w:tmpl w:val="C1B6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B67AB8"/>
    <w:multiLevelType w:val="multilevel"/>
    <w:tmpl w:val="7F6E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D918E0"/>
    <w:multiLevelType w:val="multilevel"/>
    <w:tmpl w:val="DB20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EF26EB"/>
    <w:multiLevelType w:val="multilevel"/>
    <w:tmpl w:val="923A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067104">
    <w:abstractNumId w:val="2"/>
  </w:num>
  <w:num w:numId="2" w16cid:durableId="2084402192">
    <w:abstractNumId w:val="3"/>
  </w:num>
  <w:num w:numId="3" w16cid:durableId="1378626496">
    <w:abstractNumId w:val="4"/>
  </w:num>
  <w:num w:numId="4" w16cid:durableId="1230992183">
    <w:abstractNumId w:val="0"/>
  </w:num>
  <w:num w:numId="5" w16cid:durableId="1333683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659"/>
    <w:rsid w:val="001656EB"/>
    <w:rsid w:val="001E2CE0"/>
    <w:rsid w:val="004173D2"/>
    <w:rsid w:val="00507EE0"/>
    <w:rsid w:val="00974084"/>
    <w:rsid w:val="00992659"/>
    <w:rsid w:val="00AE2E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2F4A5"/>
  <w15:chartTrackingRefBased/>
  <w15:docId w15:val="{22AA6402-1F47-DD46-B006-333938110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EE0"/>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9926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926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9265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9265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9265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92659"/>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92659"/>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92659"/>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92659"/>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265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9265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9265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9265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9265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9265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9265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9265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92659"/>
    <w:rPr>
      <w:rFonts w:eastAsiaTheme="majorEastAsia" w:cstheme="majorBidi"/>
      <w:color w:val="272727" w:themeColor="text1" w:themeTint="D8"/>
    </w:rPr>
  </w:style>
  <w:style w:type="paragraph" w:styleId="Titre">
    <w:name w:val="Title"/>
    <w:basedOn w:val="Normal"/>
    <w:next w:val="Normal"/>
    <w:link w:val="TitreCar"/>
    <w:uiPriority w:val="10"/>
    <w:qFormat/>
    <w:rsid w:val="0099265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265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92659"/>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265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92659"/>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992659"/>
    <w:rPr>
      <w:i/>
      <w:iCs/>
      <w:color w:val="404040" w:themeColor="text1" w:themeTint="BF"/>
    </w:rPr>
  </w:style>
  <w:style w:type="paragraph" w:styleId="Paragraphedeliste">
    <w:name w:val="List Paragraph"/>
    <w:basedOn w:val="Normal"/>
    <w:uiPriority w:val="34"/>
    <w:qFormat/>
    <w:rsid w:val="00992659"/>
    <w:pPr>
      <w:ind w:left="720"/>
      <w:contextualSpacing/>
    </w:pPr>
  </w:style>
  <w:style w:type="character" w:styleId="Accentuationintense">
    <w:name w:val="Intense Emphasis"/>
    <w:basedOn w:val="Policepardfaut"/>
    <w:uiPriority w:val="21"/>
    <w:qFormat/>
    <w:rsid w:val="00992659"/>
    <w:rPr>
      <w:i/>
      <w:iCs/>
      <w:color w:val="2F5496" w:themeColor="accent1" w:themeShade="BF"/>
    </w:rPr>
  </w:style>
  <w:style w:type="paragraph" w:styleId="Citationintense">
    <w:name w:val="Intense Quote"/>
    <w:basedOn w:val="Normal"/>
    <w:next w:val="Normal"/>
    <w:link w:val="CitationintenseCar"/>
    <w:uiPriority w:val="30"/>
    <w:qFormat/>
    <w:rsid w:val="009926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92659"/>
    <w:rPr>
      <w:i/>
      <w:iCs/>
      <w:color w:val="2F5496" w:themeColor="accent1" w:themeShade="BF"/>
    </w:rPr>
  </w:style>
  <w:style w:type="character" w:styleId="Rfrenceintense">
    <w:name w:val="Intense Reference"/>
    <w:basedOn w:val="Policepardfaut"/>
    <w:uiPriority w:val="32"/>
    <w:qFormat/>
    <w:rsid w:val="00992659"/>
    <w:rPr>
      <w:b/>
      <w:bCs/>
      <w:smallCaps/>
      <w:color w:val="2F5496" w:themeColor="accent1" w:themeShade="BF"/>
      <w:spacing w:val="5"/>
    </w:rPr>
  </w:style>
  <w:style w:type="paragraph" w:styleId="NormalWeb">
    <w:name w:val="Normal (Web)"/>
    <w:basedOn w:val="Normal"/>
    <w:uiPriority w:val="99"/>
    <w:semiHidden/>
    <w:unhideWhenUsed/>
    <w:rsid w:val="00992659"/>
    <w:pPr>
      <w:spacing w:before="100" w:beforeAutospacing="1" w:after="100" w:afterAutospacing="1"/>
    </w:pPr>
  </w:style>
  <w:style w:type="character" w:styleId="lev">
    <w:name w:val="Strong"/>
    <w:basedOn w:val="Policepardfaut"/>
    <w:uiPriority w:val="22"/>
    <w:qFormat/>
    <w:rsid w:val="00992659"/>
    <w:rPr>
      <w:b/>
      <w:bCs/>
    </w:rPr>
  </w:style>
  <w:style w:type="paragraph" w:customStyle="1" w:styleId="font-claude-response-body">
    <w:name w:val="font-claude-response-body"/>
    <w:basedOn w:val="Normal"/>
    <w:rsid w:val="004173D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1775</Words>
  <Characters>9763</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endaye</dc:creator>
  <cp:keywords/>
  <dc:description/>
  <cp:lastModifiedBy>endaye</cp:lastModifiedBy>
  <cp:revision>1</cp:revision>
  <dcterms:created xsi:type="dcterms:W3CDTF">2026-05-14T13:17:00Z</dcterms:created>
  <dcterms:modified xsi:type="dcterms:W3CDTF">2026-05-14T14:05:00Z</dcterms:modified>
</cp:coreProperties>
</file>