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c4587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4"/>
          <w:szCs w:val="34"/>
          <w:rtl w:val="0"/>
        </w:rPr>
        <w:t xml:space="preserve">40.02.03 Право и судебное администрирование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color w:val="22272f"/>
          <w:sz w:val="28"/>
          <w:szCs w:val="28"/>
          <w:highlight w:val="white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b w:val="1"/>
            <w:color w:val="1155cc"/>
            <w:sz w:val="56"/>
            <w:szCs w:val="56"/>
            <w:u w:val="single"/>
            <w:rtl w:val="0"/>
          </w:rPr>
          <w:t xml:space="preserve">📂</w:t>
        </w:r>
      </w:hyperlink>
      <w:r w:rsidDel="00000000" w:rsidR="00000000" w:rsidRPr="00000000">
        <w:rPr>
          <w:color w:val="0070c0"/>
          <w:sz w:val="56"/>
          <w:szCs w:val="5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2272f"/>
          <w:sz w:val="28"/>
          <w:szCs w:val="28"/>
          <w:highlight w:val="white"/>
          <w:rtl w:val="0"/>
        </w:rPr>
        <w:t xml:space="preserve">ФГОС СПО  по специальности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72f"/>
            <w:sz w:val="30"/>
            <w:szCs w:val="30"/>
            <w:highlight w:val="white"/>
            <w:rtl w:val="0"/>
          </w:rPr>
          <w:t xml:space="preserve"> 40.02.03 Право и судебное администрирование (утв. приказом Министерства образования и науки РФ от 12 мая 2014 г. N 5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72f"/>
          <w:sz w:val="28"/>
          <w:szCs w:val="28"/>
          <w:highlight w:val="white"/>
          <w:rtl w:val="0"/>
        </w:rPr>
        <w:t xml:space="preserve">13)</w:t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b w:val="1"/>
          <w:color w:val="22272f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72f"/>
          <w:sz w:val="28"/>
          <w:szCs w:val="28"/>
          <w:highlight w:val="white"/>
          <w:u w:val="single"/>
          <w:rtl w:val="0"/>
        </w:rPr>
        <w:t xml:space="preserve">Квалификация- спецалист пос удебному администрированию</w:t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72f"/>
          <w:sz w:val="28"/>
          <w:szCs w:val="28"/>
          <w:highlight w:val="white"/>
          <w:rtl w:val="0"/>
        </w:rPr>
        <w:t xml:space="preserve">срок обучения 2г.10 мес., очная форма обучения, поступление осуществляется на бюджетной основе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Объектами профессиональной деятельности выпускников являются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документооборот в суде и документированная информация суда;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информационное обеспечение деятельности суда;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техническое обеспечение деятельности суда;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судебная статистика.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="283.2" w:lineRule="auto"/>
        <w:ind w:left="720" w:firstLine="0"/>
        <w:jc w:val="both"/>
        <w:rPr>
          <w:rFonts w:ascii="Times New Roman" w:cs="Times New Roman" w:eastAsia="Times New Roman" w:hAnsi="Times New Roman"/>
          <w:color w:val="464c5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Специалист по судебному администрированию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готовится к следующим видам деятельности: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Организационно-административная деятельность по созданию условий для осуществления правосудия в Российской Федерации;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83.2" w:lineRule="auto"/>
        <w:ind w:left="720" w:hanging="360"/>
        <w:jc w:val="both"/>
        <w:rPr>
          <w:rFonts w:ascii="Times New Roman" w:cs="Times New Roman" w:eastAsia="Times New Roman" w:hAnsi="Times New Roman"/>
          <w:color w:val="464c5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64c55"/>
          <w:sz w:val="28"/>
          <w:szCs w:val="28"/>
          <w:rtl w:val="0"/>
        </w:rPr>
        <w:t xml:space="preserve">Правовое, информационное, организационно-техническое обеспечение судебной деятельности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Дисциплины, осваиваемые в процессе обучения:</w:t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6615"/>
        <w:tblGridChange w:id="0">
          <w:tblGrid>
            <w:gridCol w:w="2700"/>
            <w:gridCol w:w="661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ОГСЭ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Общий гуманитарный и социально-экономический учебный цикл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философии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История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Иностранный язык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ОГСЭ.04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Физическая культура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ОГСЭ.05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Психология личности и профессиональное самоопределение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ОГСЭ.06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Основы интеллектуального труда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ЕН.00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Математический и общий естественнонаучный учебный цикл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ЕН.01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Информатика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ЕН.02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Основы статистики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ЕН.03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Основы финансовой грамотности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Профессиональный учебный цикл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Общепрофессиональные дисциплины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Теория государства и права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Конституционное право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Правоохранительные и судебные органы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Гражданское право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Гражданский процесс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Уголовное право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Уголовный процесс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Безопасность жизнедеятельности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Трудовое право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Управление персоналом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76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Документационное обеспечение управления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Профессиональные модули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Организационно-техническое обеспечение работы судов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МДК.01.01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Судебное делопроизводство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МДК.01.02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Обеспечение рассмотрения судьей уголовных, гражданских дел и дел об административных правонарушениях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МДК.01.03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 и осуществление кодификации законодательства в суде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МДК.01.04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Особенности организационно-технического обеспечения деятельности судей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Архивное дело в суде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МДК.02.01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Архивное дело в суде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МДК.02.02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 работы архива в суде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Информатизация деятельности суда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МДК.03.01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Информационные технологии в деятельности суда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МДК.03.02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Информационные системы судопроизводства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Судебная статистика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МДК.04.01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Судебная статистика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МДК.04.02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 службы судебной статистики в судах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ПМ.05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Обеспечение исполнения решений суда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МДК.05.01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Исполнительное производство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МДК.05.02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Правовые основы организации деятельности судебных приставов</w:t>
            </w:r>
          </w:p>
        </w:tc>
      </w:tr>
    </w:tbl>
    <w:p w:rsidR="00000000" w:rsidDel="00000000" w:rsidP="00000000" w:rsidRDefault="00000000" w:rsidRPr="00000000" w14:paraId="00000065">
      <w:pPr>
        <w:spacing w:after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" w:top="1133" w:left="1133" w:right="11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 w:val="1"/>
    <w:rsid w:val="007E121E"/>
    <w:rPr>
      <w:color w:val="0000ff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7E121E"/>
    <w:rPr>
      <w:color w:val="605e5c"/>
      <w:shd w:color="auto" w:fill="e1dfdd" w:val="clear"/>
    </w:rPr>
  </w:style>
  <w:style w:type="paragraph" w:styleId="s1" w:customStyle="1">
    <w:name w:val="s_1"/>
    <w:basedOn w:val="a"/>
    <w:rsid w:val="007E121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ase.garant.ru/70732124/5f5aeb9844a3cec55dca4cf7554741a3/?cf7554741a3/?1ecc4ddb4c33/?d1ecc4ddb4c33/" TargetMode="External"/><Relationship Id="rId8" Type="http://schemas.openxmlformats.org/officeDocument/2006/relationships/hyperlink" Target="https://base.garant.ru/707100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HXTO863lncKf7QcvN9sgmQ50fA==">AMUW2mVHhY0IW8uxci1+YdtbfuW8MhpteGpvkPFuVoWl4xHCsaynBwKsPG6Fqo3kSglyv2VLDJ2BWmdIucdkGdRGDHnLMDoe9GJBbCc/G3hsc5uQrXFHQPh+j7ep34RiqiwLFRJzRc2X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2022-02-04T19:22:00Z</dcterms:created>
  <dc:creator>Olga</dc:creator>
</cp:coreProperties>
</file>