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9330B">
      <w:pPr>
        <w:pStyle w:val="2"/>
        <w:spacing w:after="200"/>
        <w:jc w:val="center"/>
      </w:pPr>
      <w:r>
        <w:t xml:space="preserve">Ontology Requirements Specification Document (ORSD) </w:t>
      </w:r>
    </w:p>
    <w:p w14:paraId="79ECDEEC">
      <w:pPr>
        <w:pStyle w:val="3"/>
        <w:spacing w:after="200"/>
        <w:jc w:val="left"/>
      </w:pPr>
      <w:r>
        <w:t>1. Document Overview</w:t>
      </w:r>
    </w:p>
    <w:p w14:paraId="7B768338">
      <w:pPr>
        <w:spacing w:after="120"/>
        <w:jc w:val="left"/>
      </w:pPr>
      <w:r>
        <w:t>This ORSD consolidates ontology requirements for eight TEF nodes/satellites. Each section includes: Purpose, Scope, Physical Assets, Intended End-Users, Intended Uses, Data Access (non-functional), Competency Questions with Answers (functional), and Pre-Glossary.</w:t>
      </w:r>
    </w:p>
    <w:p w14:paraId="624FFACA">
      <w:pPr>
        <w:spacing w:after="200"/>
      </w:pPr>
      <w:r>
        <w:t xml:space="preserve"> </w:t>
      </w:r>
    </w:p>
    <w:p w14:paraId="05E663F3">
      <w:pPr>
        <w:pStyle w:val="3"/>
        <w:spacing w:after="200"/>
        <w:jc w:val="left"/>
      </w:pPr>
      <w:r>
        <w:t>2. Node 1 — TEF RES (Renewable Energy Systems)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0311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2C14419">
            <w:pPr>
              <w:jc w:val="left"/>
            </w:pPr>
            <w:r>
              <w:rPr>
                <w:b/>
                <w:bCs/>
              </w:rPr>
              <w:t>Tasks</w:t>
            </w:r>
          </w:p>
        </w:tc>
        <w:tc>
          <w:p w14:paraId="336AE696">
            <w:pPr>
              <w:jc w:val="left"/>
            </w:pPr>
            <w:r>
              <w:rPr>
                <w:b/>
                <w:bCs/>
              </w:rPr>
              <w:t>Description</w:t>
            </w:r>
          </w:p>
        </w:tc>
      </w:tr>
      <w:tr w14:paraId="72DB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A05A6E">
            <w:pPr>
              <w:jc w:val="left"/>
            </w:pPr>
            <w:r>
              <w:rPr>
                <w:b/>
                <w:bCs/>
              </w:rPr>
              <w:t>Purpose</w:t>
            </w:r>
          </w:p>
        </w:tc>
        <w:tc>
          <w:p w14:paraId="4E42EFC9">
            <w:pPr>
              <w:jc w:val="left"/>
            </w:pPr>
            <w:r>
              <w:t>The ontology aims to support optimization and decision support by providing a semantic foundation for predictive and prescriptive analytics in renewable energy systems. It shall enable testing, training, and validation of AI services across multi-technology real-world assets.</w:t>
            </w:r>
          </w:p>
        </w:tc>
      </w:tr>
      <w:tr w14:paraId="3EB4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3BD10E">
            <w:pPr>
              <w:jc w:val="left"/>
            </w:pPr>
            <w:r>
              <w:rPr>
                <w:b/>
                <w:bCs/>
              </w:rPr>
              <w:t>Scope</w:t>
            </w:r>
          </w:p>
        </w:tc>
        <w:tc>
          <w:p w14:paraId="4DC1931B">
            <w:pPr>
              <w:jc w:val="left"/>
            </w:pPr>
            <w:r>
              <w:t>The scope encompasses the renewable energy domain with focus on onshore and offshore systems, including wave, photovoltaic (PV), wind, and hydro energy technologies, monitoring infrastructure, and compute resources for AI experimentation.</w:t>
            </w:r>
          </w:p>
        </w:tc>
      </w:tr>
      <w:tr w14:paraId="05D6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2C18FC">
            <w:pPr>
              <w:jc w:val="left"/>
            </w:pPr>
            <w:r>
              <w:rPr>
                <w:b/>
                <w:bCs/>
              </w:rPr>
              <w:t>Physical Assets</w:t>
            </w:r>
          </w:p>
        </w:tc>
        <w:tc>
          <w:p w14:paraId="38606EDF">
            <w:pPr>
              <w:jc w:val="left"/>
            </w:pPr>
            <w:r>
              <w:t>Makrochori Hydropower Plant; Asomata Hydropower Plant; Illarion Hydropower Plant; Mpitakos PV Plant; Kouromantri Wind Farm; Off-shore RES asset; Instrumented Buoy; Local Weather Station; Aguçadoura Test Site; GPU server with NVIDIA L40S accelerator; Waverider buoy.</w:t>
            </w:r>
          </w:p>
        </w:tc>
      </w:tr>
      <w:tr w14:paraId="3F4E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E4774A">
            <w:pPr>
              <w:jc w:val="left"/>
            </w:pPr>
            <w:r>
              <w:rPr>
                <w:b/>
                <w:bCs/>
              </w:rPr>
              <w:t>Intended End-Users</w:t>
            </w:r>
          </w:p>
        </w:tc>
        <w:tc>
          <w:p w14:paraId="557BD40E">
            <w:pPr>
              <w:jc w:val="left"/>
            </w:pPr>
            <w:r>
              <w:t>AI Industry Stakeholders; RES Stakeholders; TEF Node Operators.</w:t>
            </w:r>
          </w:p>
        </w:tc>
      </w:tr>
      <w:tr w14:paraId="4EC1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D93A0D">
            <w:pPr>
              <w:jc w:val="left"/>
            </w:pPr>
            <w:r>
              <w:rPr>
                <w:b/>
                <w:bCs/>
              </w:rPr>
              <w:t>Intended Uses</w:t>
            </w:r>
          </w:p>
        </w:tc>
        <w:tc>
          <w:p w14:paraId="4696C270">
            <w:pPr>
              <w:jc w:val="left"/>
            </w:pPr>
            <w:r>
              <w:t xml:space="preserve">Multi-technology real-world renewable assets (hydro, PV, wind, wave) and monitoring infrastructure providing high-resolution operational data and compute for testing, training and validating AI services in </w:t>
            </w:r>
            <w:r>
              <w:rPr>
                <w:b/>
                <w:bCs/>
              </w:rPr>
              <w:t>forecasting</w:t>
            </w:r>
            <w:r>
              <w:t xml:space="preserve">, </w:t>
            </w:r>
            <w:r>
              <w:rPr>
                <w:b/>
                <w:bCs/>
              </w:rPr>
              <w:t>anomaly detection</w:t>
            </w:r>
            <w:r>
              <w:t xml:space="preserve">, </w:t>
            </w:r>
            <w:r>
              <w:rPr>
                <w:b/>
                <w:bCs/>
              </w:rPr>
              <w:t>optimisation</w:t>
            </w:r>
            <w:r>
              <w:t xml:space="preserve">, and </w:t>
            </w:r>
            <w:r>
              <w:rPr>
                <w:b/>
                <w:bCs/>
              </w:rPr>
              <w:t>performance assessment</w:t>
            </w:r>
            <w:r>
              <w:t>. Specific use cases include: AI-assisted aerial offshore asset planning; RES production forecasting using DTs and ML; degradation estimation of ocean wave energy converters (WECs); integration and validation of multi-technology RES; energy market analysis and trading; predictive maintenance; control algorithms; asset safeguard strategies against external events (e.g., cyberattacks).</w:t>
            </w:r>
          </w:p>
        </w:tc>
      </w:tr>
      <w:tr w14:paraId="3260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A4AA23">
            <w:pPr>
              <w:jc w:val="left"/>
            </w:pPr>
            <w:r>
              <w:rPr>
                <w:b/>
                <w:bCs/>
              </w:rPr>
              <w:t>Data Access (Non-functional)</w:t>
            </w:r>
          </w:p>
        </w:tc>
        <w:tc>
          <w:p w14:paraId="7A5927BB">
            <w:pPr>
              <w:jc w:val="left"/>
            </w:pPr>
            <w:r>
              <w:t xml:space="preserve">Combination of </w:t>
            </w:r>
            <w:r>
              <w:rPr>
                <w:b/>
                <w:bCs/>
              </w:rPr>
              <w:t>offline CSV datasets</w:t>
            </w:r>
            <w:r>
              <w:t xml:space="preserve"> and </w:t>
            </w:r>
            <w:r>
              <w:rPr>
                <w:b/>
                <w:bCs/>
              </w:rPr>
              <w:t>online/offline SCADA- and API-based streams</w:t>
            </w:r>
            <w:r>
              <w:t xml:space="preserve"> with </w:t>
            </w:r>
            <w:r>
              <w:rPr>
                <w:b/>
                <w:bCs/>
              </w:rPr>
              <w:t>hourly to sub-minute</w:t>
            </w:r>
            <w:r>
              <w:t xml:space="preserve"> resolution.</w:t>
            </w:r>
          </w:p>
        </w:tc>
      </w:tr>
      <w:tr w14:paraId="26A5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4DAF41">
            <w:pPr>
              <w:jc w:val="left"/>
            </w:pPr>
            <w:r>
              <w:rPr>
                <w:b/>
                <w:bCs/>
              </w:rPr>
              <w:t>Competency Questions (CQs)</w:t>
            </w:r>
          </w:p>
        </w:tc>
        <w:tc>
          <w:p w14:paraId="424F5618">
            <w:pPr>
              <w:jc w:val="left"/>
            </w:pPr>
            <w:r>
              <w:t xml:space="preserve">What is RES? Renewable energy systems. </w:t>
            </w:r>
          </w:p>
          <w:p w14:paraId="1BDA0C95">
            <w:pPr>
              <w:jc w:val="left"/>
            </w:pPr>
            <w:r>
              <w:softHyphen/>
            </w:r>
            <w:r>
              <w:t xml:space="preserve">What are the types of renewable energy? Wave, PV, Wind, Hydro. </w:t>
            </w:r>
            <w:r>
              <w:softHyphen/>
            </w:r>
            <w:r>
              <w:t xml:space="preserve"> What real-time data are collected from SCADA? Nominal power, current, transformer heating, battery status, temperature, ambient conditions, communication protocol information. </w:t>
            </w:r>
          </w:p>
          <w:p w14:paraId="5A7E0C5D">
            <w:pPr>
              <w:jc w:val="left"/>
            </w:pPr>
            <w:r>
              <w:softHyphen/>
            </w:r>
            <w:r>
              <w:t>What are the types of weather data? Wind speed, temperature, humidity, irradiance.</w:t>
            </w:r>
          </w:p>
        </w:tc>
      </w:tr>
      <w:tr w14:paraId="0491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9F964D">
            <w:pPr>
              <w:jc w:val="left"/>
            </w:pPr>
            <w:r>
              <w:rPr>
                <w:b/>
                <w:bCs/>
              </w:rPr>
              <w:t>Pre-Glossary</w:t>
            </w:r>
          </w:p>
        </w:tc>
        <w:tc>
          <w:p w14:paraId="44F6BCD9">
            <w:pPr>
              <w:jc w:val="left"/>
            </w:pPr>
            <w:r>
              <w:t>RES, SCADA, WEC, DT (Digital Twin), PV, HIL, API, offshore RES, instrumented buoy, waverider buoy.</w:t>
            </w:r>
          </w:p>
        </w:tc>
      </w:tr>
    </w:tbl>
    <w:p w14:paraId="5AE82388">
      <w:pPr>
        <w:spacing w:before="240"/>
      </w:pPr>
      <w:r>
        <w:t xml:space="preserve"> </w:t>
      </w:r>
    </w:p>
    <w:p w14:paraId="7927B5C8">
      <w:pPr>
        <w:pStyle w:val="3"/>
        <w:spacing w:after="200"/>
        <w:jc w:val="left"/>
      </w:pPr>
      <w:r>
        <w:t>3. Node 2 — TEF EV</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769F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70EDA08">
            <w:pPr>
              <w:jc w:val="left"/>
            </w:pPr>
            <w:r>
              <w:rPr>
                <w:b/>
                <w:bCs/>
              </w:rPr>
              <w:t>Tasks</w:t>
            </w:r>
          </w:p>
        </w:tc>
        <w:tc>
          <w:p w14:paraId="3BEA0AEC">
            <w:pPr>
              <w:jc w:val="left"/>
            </w:pPr>
            <w:r>
              <w:rPr>
                <w:b/>
                <w:bCs/>
              </w:rPr>
              <w:t>Description</w:t>
            </w:r>
          </w:p>
        </w:tc>
      </w:tr>
      <w:tr w14:paraId="6F3F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13DFF5">
            <w:pPr>
              <w:jc w:val="left"/>
            </w:pPr>
            <w:r>
              <w:rPr>
                <w:b/>
                <w:bCs/>
              </w:rPr>
              <w:t>Purpose</w:t>
            </w:r>
          </w:p>
        </w:tc>
        <w:tc>
          <w:p w14:paraId="41AA9937">
            <w:pPr>
              <w:jc w:val="left"/>
            </w:pPr>
            <w:r>
              <w:t>Support AI-based prediction, optimization, and management of EV charging, energy demand, and renewable generation in energy communities, enabling smart coordination of resources, V2G, flexibility services, and predictive maintenance.</w:t>
            </w:r>
          </w:p>
        </w:tc>
      </w:tr>
      <w:tr w14:paraId="75AB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8D9E26">
            <w:pPr>
              <w:jc w:val="left"/>
            </w:pPr>
            <w:r>
              <w:rPr>
                <w:b/>
                <w:bCs/>
              </w:rPr>
              <w:t>Scope</w:t>
            </w:r>
          </w:p>
        </w:tc>
        <w:tc>
          <w:p w14:paraId="303BDA68">
            <w:pPr>
              <w:jc w:val="left"/>
            </w:pPr>
            <w:r>
              <w:t>EV integration domain including nominal power, current, transformer heating, communication protocols, battery status, temperature, ambient conditions, weather data (wind speed, temperature, humidity, irradiance), smart charging, V2G, and energy community (ECO) operations.</w:t>
            </w:r>
          </w:p>
        </w:tc>
      </w:tr>
      <w:tr w14:paraId="0232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46A46C">
            <w:pPr>
              <w:jc w:val="left"/>
            </w:pPr>
            <w:r>
              <w:rPr>
                <w:b/>
                <w:bCs/>
              </w:rPr>
              <w:t>Physical Assets</w:t>
            </w:r>
          </w:p>
        </w:tc>
        <w:tc>
          <w:p w14:paraId="4C4B6A57">
            <w:pPr>
              <w:jc w:val="left"/>
            </w:pPr>
            <w:r>
              <w:t>Meluxina infrastructure; SCALEXIO smart EV charging control system; OPAL 5600 platforms; OPAL 4610 X; AIDA platform; 3 Real Sites.</w:t>
            </w:r>
          </w:p>
        </w:tc>
      </w:tr>
      <w:tr w14:paraId="5494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310F7A">
            <w:pPr>
              <w:jc w:val="left"/>
            </w:pPr>
            <w:r>
              <w:rPr>
                <w:b/>
                <w:bCs/>
              </w:rPr>
              <w:t>Intended End-Users</w:t>
            </w:r>
          </w:p>
        </w:tc>
        <w:tc>
          <w:p w14:paraId="68DB18A4">
            <w:pPr>
              <w:jc w:val="left"/>
            </w:pPr>
            <w:r>
              <w:t>TEF Node Operators; AI Industry Stakeholders; Energy Community operators.</w:t>
            </w:r>
          </w:p>
        </w:tc>
      </w:tr>
      <w:tr w14:paraId="4FCB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A73EF2">
            <w:pPr>
              <w:jc w:val="left"/>
            </w:pPr>
            <w:r>
              <w:rPr>
                <w:b/>
                <w:bCs/>
              </w:rPr>
              <w:t>Intended Uses</w:t>
            </w:r>
          </w:p>
        </w:tc>
        <w:tc>
          <w:p w14:paraId="2A5D482F">
            <w:pPr>
              <w:jc w:val="left"/>
            </w:pPr>
            <w:r>
              <w:t xml:space="preserve">EV integration into energy communities, </w:t>
            </w:r>
            <w:r>
              <w:rPr>
                <w:b/>
                <w:bCs/>
              </w:rPr>
              <w:t>smart charging</w:t>
            </w:r>
            <w:r>
              <w:t xml:space="preserve">, </w:t>
            </w:r>
            <w:r>
              <w:rPr>
                <w:b/>
                <w:bCs/>
              </w:rPr>
              <w:t>V2G (Vehicle-to-Grid)</w:t>
            </w:r>
            <w:r>
              <w:t xml:space="preserve">, and </w:t>
            </w:r>
            <w:r>
              <w:rPr>
                <w:b/>
                <w:bCs/>
              </w:rPr>
              <w:t>flexibility services</w:t>
            </w:r>
            <w:r>
              <w:t>. Specific scenarios: EV-user charging and usage profiles prediction; energy demand forecasting in ECOs; RES generation forecasting in ECOs; coordinated EMS for SEVCs in ECOs; AI-enhanced multi-agent testing for V2X; intelligent flexibility and ancillary services; predictive maintenance of EV-charging infrastructure.</w:t>
            </w:r>
          </w:p>
        </w:tc>
      </w:tr>
      <w:tr w14:paraId="1A31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EC2D28">
            <w:pPr>
              <w:jc w:val="left"/>
            </w:pPr>
            <w:r>
              <w:rPr>
                <w:b/>
                <w:bCs/>
              </w:rPr>
              <w:t>Data Access (Non-functional)</w:t>
            </w:r>
          </w:p>
        </w:tc>
        <w:tc>
          <w:p w14:paraId="78B83D0B">
            <w:pPr>
              <w:jc w:val="left"/>
            </w:pPr>
            <w:r>
              <w:rPr>
                <w:b/>
                <w:bCs/>
              </w:rPr>
              <w:t>Offline data in CSV</w:t>
            </w:r>
            <w:r>
              <w:t xml:space="preserve"> with </w:t>
            </w:r>
            <w:r>
              <w:rPr>
                <w:b/>
                <w:bCs/>
              </w:rPr>
              <w:t>15-minute</w:t>
            </w:r>
            <w:r>
              <w:t xml:space="preserve"> resolution.</w:t>
            </w:r>
          </w:p>
        </w:tc>
      </w:tr>
      <w:tr w14:paraId="31B5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9B0CE2">
            <w:pPr>
              <w:jc w:val="left"/>
            </w:pPr>
            <w:r>
              <w:rPr>
                <w:b/>
                <w:bCs/>
              </w:rPr>
              <w:t>Competency Questions (CQs)</w:t>
            </w:r>
          </w:p>
        </w:tc>
        <w:tc>
          <w:p w14:paraId="15CBAFC2">
            <w:pPr>
              <w:jc w:val="left"/>
            </w:pPr>
            <w:r>
              <w:t xml:space="preserve">What is an EV? Electric vehicle. </w:t>
            </w:r>
          </w:p>
          <w:p w14:paraId="549FCB91">
            <w:pPr>
              <w:jc w:val="left"/>
            </w:pPr>
            <w:r>
              <w:softHyphen/>
            </w:r>
            <w:r>
              <w:t xml:space="preserve">What is a SEVC? Smart electric vehicle charger. </w:t>
            </w:r>
          </w:p>
          <w:p w14:paraId="77F2CD2F">
            <w:pPr>
              <w:jc w:val="left"/>
            </w:pPr>
            <w:r>
              <w:softHyphen/>
            </w:r>
            <w:r>
              <w:t xml:space="preserve">What is an ECO? Energy community. </w:t>
            </w:r>
          </w:p>
          <w:p w14:paraId="0E9FBA66">
            <w:pPr>
              <w:jc w:val="left"/>
            </w:pPr>
            <w:r>
              <w:softHyphen/>
            </w:r>
            <w:r>
              <w:t>What is an EMS? Energy management system.</w:t>
            </w:r>
          </w:p>
          <w:p w14:paraId="306D8790">
            <w:pPr>
              <w:jc w:val="left"/>
            </w:pPr>
            <w:r>
              <w:t xml:space="preserve"> </w:t>
            </w:r>
            <w:r>
              <w:softHyphen/>
            </w:r>
            <w:r>
              <w:t xml:space="preserve">What is DER? Distributed energy resource. </w:t>
            </w:r>
          </w:p>
          <w:p w14:paraId="240F82D4">
            <w:pPr>
              <w:jc w:val="left"/>
            </w:pPr>
            <w:r>
              <w:softHyphen/>
            </w:r>
            <w:r>
              <w:t xml:space="preserve">What is DR? Demand response. </w:t>
            </w:r>
          </w:p>
          <w:p w14:paraId="3C0506CB">
            <w:pPr>
              <w:jc w:val="left"/>
            </w:pPr>
            <w:r>
              <w:softHyphen/>
            </w:r>
            <w:r>
              <w:t xml:space="preserve">What is BESS? Battery energy storage system. </w:t>
            </w:r>
          </w:p>
          <w:p w14:paraId="75FFB75C">
            <w:pPr>
              <w:jc w:val="left"/>
            </w:pPr>
            <w:r>
              <w:softHyphen/>
            </w:r>
            <w:r>
              <w:t xml:space="preserve">What is DSM? Demand-side management. </w:t>
            </w:r>
          </w:p>
          <w:p w14:paraId="771C1565">
            <w:pPr>
              <w:jc w:val="left"/>
            </w:pPr>
            <w:r>
              <w:softHyphen/>
            </w:r>
            <w:r>
              <w:t xml:space="preserve">How are predicted demand or weather data used? To optimise DER, BESS, DR, and SEVC scheduling. </w:t>
            </w:r>
          </w:p>
          <w:p w14:paraId="017BBF92">
            <w:pPr>
              <w:jc w:val="left"/>
            </w:pPr>
            <w:r>
              <w:softHyphen/>
            </w:r>
            <w:r>
              <w:t>What energy data types are available? Real-time, historical, synthetic.</w:t>
            </w:r>
          </w:p>
        </w:tc>
      </w:tr>
      <w:tr w14:paraId="3C35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171C72">
            <w:pPr>
              <w:jc w:val="left"/>
            </w:pPr>
            <w:r>
              <w:rPr>
                <w:b/>
                <w:bCs/>
              </w:rPr>
              <w:t>Pre-Glossary</w:t>
            </w:r>
          </w:p>
        </w:tc>
        <w:tc>
          <w:p w14:paraId="75D468F2">
            <w:pPr>
              <w:jc w:val="left"/>
            </w:pPr>
            <w:r>
              <w:t>EV, SEVC, ECO, EMS, DER, DR, BESS, DSM, V2G, V2X, EVSE, smart meter.</w:t>
            </w:r>
          </w:p>
        </w:tc>
      </w:tr>
    </w:tbl>
    <w:p w14:paraId="63438D31">
      <w:pPr>
        <w:spacing w:before="240"/>
      </w:pPr>
      <w:r>
        <w:t xml:space="preserve"> </w:t>
      </w:r>
    </w:p>
    <w:p w14:paraId="57C50F08">
      <w:pPr>
        <w:pStyle w:val="3"/>
        <w:spacing w:after="200"/>
        <w:jc w:val="left"/>
      </w:pPr>
      <w:r>
        <w:t>4. Node 3 — TEF TSO (Transmission Network)</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400C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36F5DE9">
            <w:pPr>
              <w:jc w:val="left"/>
            </w:pPr>
            <w:r>
              <w:rPr>
                <w:b/>
                <w:bCs/>
              </w:rPr>
              <w:t>Tasks</w:t>
            </w:r>
          </w:p>
        </w:tc>
        <w:tc>
          <w:p w14:paraId="0C7AD5B4">
            <w:pPr>
              <w:jc w:val="left"/>
            </w:pPr>
            <w:r>
              <w:rPr>
                <w:b/>
                <w:bCs/>
              </w:rPr>
              <w:t>Description</w:t>
            </w:r>
          </w:p>
        </w:tc>
      </w:tr>
      <w:tr w14:paraId="6340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CFEEBC">
            <w:pPr>
              <w:jc w:val="left"/>
            </w:pPr>
            <w:r>
              <w:rPr>
                <w:b/>
                <w:bCs/>
              </w:rPr>
              <w:t>Purpose</w:t>
            </w:r>
          </w:p>
        </w:tc>
        <w:tc>
          <w:p w14:paraId="14FAB764">
            <w:pPr>
              <w:jc w:val="left"/>
            </w:pPr>
            <w:r>
              <w:t>Provide a formal shared semantic model of transmission networks, enabling AI-based fault detection, grid stability assessment, real-time power management, interoperability, and cybersecurity monitoring for transmission system operators.</w:t>
            </w:r>
          </w:p>
        </w:tc>
      </w:tr>
      <w:tr w14:paraId="28F0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691634">
            <w:pPr>
              <w:jc w:val="left"/>
            </w:pPr>
            <w:r>
              <w:rPr>
                <w:b/>
                <w:bCs/>
              </w:rPr>
              <w:t>Scope</w:t>
            </w:r>
          </w:p>
        </w:tc>
        <w:tc>
          <w:p w14:paraId="76ED840C">
            <w:pPr>
              <w:jc w:val="left"/>
            </w:pPr>
            <w:r>
              <w:t>High-voltage transmission networks: assets (towers, conductors, substations), operational parameters, real-time measurements, control actions, protection infrastructure, transformer monitoring, and cybersecurity-related events. Supports TSO–DSO coordination.</w:t>
            </w:r>
          </w:p>
        </w:tc>
      </w:tr>
      <w:tr w14:paraId="6A6B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375800">
            <w:pPr>
              <w:jc w:val="left"/>
            </w:pPr>
            <w:r>
              <w:rPr>
                <w:b/>
                <w:bCs/>
              </w:rPr>
              <w:t>Physical Assets</w:t>
            </w:r>
          </w:p>
        </w:tc>
        <w:tc>
          <w:p w14:paraId="486F8EF8">
            <w:pPr>
              <w:jc w:val="left"/>
            </w:pPr>
            <w:r>
              <w:t>Computing infrastructure; Protection infrastructure; Transformer monitoring devices.</w:t>
            </w:r>
          </w:p>
        </w:tc>
      </w:tr>
      <w:tr w14:paraId="3DE7A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ACBA1E">
            <w:pPr>
              <w:jc w:val="left"/>
            </w:pPr>
            <w:r>
              <w:rPr>
                <w:b/>
                <w:bCs/>
              </w:rPr>
              <w:t>Intended End-Users</w:t>
            </w:r>
          </w:p>
        </w:tc>
        <w:tc>
          <w:p w14:paraId="16D7460B">
            <w:pPr>
              <w:jc w:val="left"/>
            </w:pPr>
            <w:r>
              <w:t>Network Operators (TSOs); Aggregators, Energy Retailers &amp; Suppliers; AI Industry Stakeholders.</w:t>
            </w:r>
          </w:p>
        </w:tc>
      </w:tr>
      <w:tr w14:paraId="1FE31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27319C">
            <w:pPr>
              <w:jc w:val="left"/>
            </w:pPr>
            <w:r>
              <w:rPr>
                <w:b/>
                <w:bCs/>
              </w:rPr>
              <w:t>Intended Uses</w:t>
            </w:r>
          </w:p>
        </w:tc>
        <w:tc>
          <w:p w14:paraId="685386AD">
            <w:pPr>
              <w:jc w:val="left"/>
            </w:pPr>
            <w:r>
              <w:t xml:space="preserve">Digital solutions for </w:t>
            </w:r>
            <w:r>
              <w:rPr>
                <w:b/>
                <w:bCs/>
              </w:rPr>
              <w:t>transmission grid stability</w:t>
            </w:r>
            <w:r>
              <w:t xml:space="preserve">, </w:t>
            </w:r>
            <w:r>
              <w:rPr>
                <w:b/>
                <w:bCs/>
              </w:rPr>
              <w:t>interoperability</w:t>
            </w:r>
            <w:r>
              <w:t xml:space="preserve">, </w:t>
            </w:r>
            <w:r>
              <w:rPr>
                <w:b/>
                <w:bCs/>
              </w:rPr>
              <w:t>real-time power management</w:t>
            </w:r>
            <w:r>
              <w:t xml:space="preserve">, and </w:t>
            </w:r>
            <w:r>
              <w:rPr>
                <w:b/>
                <w:bCs/>
              </w:rPr>
              <w:t>fault analysis</w:t>
            </w:r>
            <w:r>
              <w:t>. Specific: AI-driven fault detection and classification; dynamic AI-enhanced grid stability assessment; real-time power management for TSO–DSO coordination; critical infrastructure and cybersecurity enhancement.</w:t>
            </w:r>
          </w:p>
        </w:tc>
      </w:tr>
      <w:tr w14:paraId="1761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3E1D65">
            <w:pPr>
              <w:jc w:val="left"/>
            </w:pPr>
            <w:r>
              <w:rPr>
                <w:b/>
                <w:bCs/>
              </w:rPr>
              <w:t>Data Access (Non-functional)</w:t>
            </w:r>
          </w:p>
        </w:tc>
        <w:tc>
          <w:p w14:paraId="33BF2719">
            <w:pPr>
              <w:jc w:val="left"/>
            </w:pPr>
            <w:r>
              <w:rPr>
                <w:b/>
                <w:bCs/>
              </w:rPr>
              <w:t>Offline data only</w:t>
            </w:r>
            <w:r>
              <w:t xml:space="preserve">; </w:t>
            </w:r>
            <w:r>
              <w:rPr>
                <w:b/>
                <w:bCs/>
              </w:rPr>
              <w:t>no API available</w:t>
            </w:r>
            <w:r>
              <w:t xml:space="preserve">. Some data stored locally in </w:t>
            </w:r>
            <w:r>
              <w:rPr>
                <w:b/>
                <w:bCs/>
              </w:rPr>
              <w:t>MS SQL database</w:t>
            </w:r>
            <w:r>
              <w:t>.</w:t>
            </w:r>
          </w:p>
        </w:tc>
      </w:tr>
      <w:tr w14:paraId="6B6A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C30D93">
            <w:pPr>
              <w:jc w:val="left"/>
            </w:pPr>
            <w:r>
              <w:rPr>
                <w:b/>
                <w:bCs/>
              </w:rPr>
              <w:t>Competency Questions (CQs)</w:t>
            </w:r>
          </w:p>
        </w:tc>
        <w:tc>
          <w:p w14:paraId="57ACE425">
            <w:pPr>
              <w:jc w:val="left"/>
            </w:pPr>
            <w:r>
              <w:t xml:space="preserve">What asset-specific data is collected in TSO? Field observations, diagnostics, maintenance records, GIS network elements, tower deformation, conductor measurements, weather, traffic data. </w:t>
            </w:r>
            <w:r>
              <w:softHyphen/>
            </w:r>
            <w:r>
              <w:t xml:space="preserve">How is real-time operational data measured? Sensors, meters, IoT devices. </w:t>
            </w:r>
          </w:p>
          <w:p w14:paraId="05C75145">
            <w:pPr>
              <w:jc w:val="left"/>
            </w:pPr>
            <w:r>
              <w:softHyphen/>
            </w:r>
            <w:r>
              <w:t>Which parameters are in real-time operational data? Power flow, energy exchanges, losses, power quality, protection relay records, EMS/SCADA, renewables, WAMS, surge arrestors, lightning strikes, dynamic line rating.</w:t>
            </w:r>
          </w:p>
        </w:tc>
      </w:tr>
      <w:tr w14:paraId="4712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E9B1EA">
            <w:pPr>
              <w:jc w:val="left"/>
            </w:pPr>
            <w:r>
              <w:rPr>
                <w:b/>
                <w:bCs/>
              </w:rPr>
              <w:t>Pre-Glossary</w:t>
            </w:r>
          </w:p>
        </w:tc>
        <w:tc>
          <w:p w14:paraId="0B37FA9C">
            <w:pPr>
              <w:jc w:val="left"/>
            </w:pPr>
            <w:r>
              <w:t>TSO, DSO, WAMS, EMS, SCADA, GIS, DLR (dynamic line rating), protection relay.</w:t>
            </w:r>
          </w:p>
        </w:tc>
      </w:tr>
    </w:tbl>
    <w:p w14:paraId="216D064D">
      <w:pPr>
        <w:spacing w:before="240"/>
      </w:pPr>
      <w:r>
        <w:t xml:space="preserve"> </w:t>
      </w:r>
    </w:p>
    <w:p w14:paraId="3B19E511">
      <w:pPr>
        <w:pStyle w:val="3"/>
        <w:spacing w:after="200"/>
        <w:jc w:val="left"/>
      </w:pPr>
      <w:r>
        <w:t>5. Node 4 — TEF DSO (Distribution Grid, Microgrid)</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6766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DA88162">
            <w:pPr>
              <w:jc w:val="left"/>
            </w:pPr>
            <w:r>
              <w:rPr>
                <w:b/>
                <w:bCs/>
              </w:rPr>
              <w:t>Tasks</w:t>
            </w:r>
          </w:p>
        </w:tc>
        <w:tc>
          <w:p w14:paraId="2AF8B0B9">
            <w:pPr>
              <w:jc w:val="left"/>
            </w:pPr>
            <w:r>
              <w:rPr>
                <w:b/>
                <w:bCs/>
              </w:rPr>
              <w:t>Description</w:t>
            </w:r>
          </w:p>
        </w:tc>
      </w:tr>
      <w:tr w14:paraId="0EEBB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557949">
            <w:pPr>
              <w:jc w:val="left"/>
            </w:pPr>
            <w:r>
              <w:rPr>
                <w:b/>
                <w:bCs/>
              </w:rPr>
              <w:t>Purpose</w:t>
            </w:r>
          </w:p>
        </w:tc>
        <w:tc>
          <w:p w14:paraId="2EB5C4AF">
            <w:pPr>
              <w:jc w:val="left"/>
            </w:pPr>
            <w:r>
              <w:t>Provide a formal semantic model supporting AI services in distribution grids: real-time simulation, AI-driven state estimation, flexibility services, digital twins, and microservice-based AI integration.</w:t>
            </w:r>
          </w:p>
        </w:tc>
      </w:tr>
      <w:tr w14:paraId="5090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5CEBE5">
            <w:pPr>
              <w:jc w:val="left"/>
            </w:pPr>
            <w:r>
              <w:rPr>
                <w:b/>
                <w:bCs/>
              </w:rPr>
              <w:t>Scope</w:t>
            </w:r>
          </w:p>
        </w:tc>
        <w:tc>
          <w:p w14:paraId="07B7056E">
            <w:pPr>
              <w:jc w:val="left"/>
            </w:pPr>
            <w:r>
              <w:t>Distribution grids and microgrids; real-time simulation platforms; CIM-based services; HiL testing; data spaces for distribution stakeholders; sensitivity analysis for power-system applications.</w:t>
            </w:r>
          </w:p>
        </w:tc>
      </w:tr>
      <w:tr w14:paraId="2ACF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2E771F">
            <w:pPr>
              <w:jc w:val="left"/>
            </w:pPr>
            <w:r>
              <w:rPr>
                <w:b/>
                <w:bCs/>
              </w:rPr>
              <w:t>Physical Assets</w:t>
            </w:r>
          </w:p>
        </w:tc>
        <w:tc>
          <w:p w14:paraId="5E132725">
            <w:pPr>
              <w:jc w:val="left"/>
            </w:pPr>
            <w:r>
              <w:t>RTDS (Real-Time Digital Simulator); OPAL-RT.</w:t>
            </w:r>
          </w:p>
        </w:tc>
      </w:tr>
      <w:tr w14:paraId="0A21E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872726">
            <w:pPr>
              <w:jc w:val="left"/>
            </w:pPr>
            <w:r>
              <w:rPr>
                <w:b/>
                <w:bCs/>
              </w:rPr>
              <w:t>Intended End-Users</w:t>
            </w:r>
          </w:p>
        </w:tc>
        <w:tc>
          <w:p w14:paraId="46A55A19">
            <w:pPr>
              <w:jc w:val="left"/>
            </w:pPr>
            <w:r>
              <w:t>AI Service Developers; Network Operators (DSOs, TSOs); TEF Node Operators.</w:t>
            </w:r>
          </w:p>
        </w:tc>
      </w:tr>
      <w:tr w14:paraId="5FC3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A8DF7C">
            <w:pPr>
              <w:jc w:val="left"/>
            </w:pPr>
            <w:r>
              <w:rPr>
                <w:b/>
                <w:bCs/>
              </w:rPr>
              <w:t>Intended Uses</w:t>
            </w:r>
          </w:p>
        </w:tc>
        <w:tc>
          <w:p w14:paraId="3EBACD3F">
            <w:pPr>
              <w:jc w:val="left"/>
            </w:pPr>
            <w:r>
              <w:rPr>
                <w:b/>
                <w:bCs/>
              </w:rPr>
              <w:t>Real-time simulation</w:t>
            </w:r>
            <w:r>
              <w:t xml:space="preserve"> for distribution grids; </w:t>
            </w:r>
            <w:r>
              <w:rPr>
                <w:b/>
                <w:bCs/>
              </w:rPr>
              <w:t>AI-driven state estimation</w:t>
            </w:r>
            <w:r>
              <w:t xml:space="preserve">; </w:t>
            </w:r>
            <w:r>
              <w:rPr>
                <w:b/>
                <w:bCs/>
              </w:rPr>
              <w:t>flexibility services</w:t>
            </w:r>
            <w:r>
              <w:t>. Specific: Distribution System Digital Twin for AI monitoring/control with CIM services; Microservices Platform with EV charging scenario creator; Global Sensitivity Analysis service; Data space instance for Distribution Grids (ENERSHARE MVP/MVDS); MIOB hardware service for remote data acquisition and HiL bi-directional interface.</w:t>
            </w:r>
          </w:p>
        </w:tc>
      </w:tr>
      <w:tr w14:paraId="1720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811427">
            <w:pPr>
              <w:jc w:val="left"/>
            </w:pPr>
            <w:r>
              <w:rPr>
                <w:b/>
                <w:bCs/>
              </w:rPr>
              <w:t>Data Access (Non-functional)</w:t>
            </w:r>
          </w:p>
        </w:tc>
        <w:tc>
          <w:p w14:paraId="4919194B">
            <w:pPr>
              <w:jc w:val="left"/>
            </w:pPr>
            <w:r>
              <w:t xml:space="preserve">RTDS and OPAL-RT offer </w:t>
            </w:r>
            <w:r>
              <w:rPr>
                <w:b/>
                <w:bCs/>
              </w:rPr>
              <w:t>online/offline data access</w:t>
            </w:r>
            <w:r>
              <w:t xml:space="preserve">; </w:t>
            </w:r>
            <w:r>
              <w:rPr>
                <w:b/>
                <w:bCs/>
              </w:rPr>
              <w:t>no SCADA</w:t>
            </w:r>
            <w:r>
              <w:t xml:space="preserve">, </w:t>
            </w:r>
            <w:r>
              <w:rPr>
                <w:b/>
                <w:bCs/>
              </w:rPr>
              <w:t>no local platform</w:t>
            </w:r>
            <w:r>
              <w:t xml:space="preserve">, and </w:t>
            </w:r>
            <w:r>
              <w:rPr>
                <w:b/>
                <w:bCs/>
              </w:rPr>
              <w:t>no API available</w:t>
            </w:r>
            <w:r>
              <w:t>.</w:t>
            </w:r>
          </w:p>
        </w:tc>
      </w:tr>
      <w:tr w14:paraId="155C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1DE67C">
            <w:pPr>
              <w:jc w:val="left"/>
            </w:pPr>
            <w:r>
              <w:rPr>
                <w:b/>
                <w:bCs/>
              </w:rPr>
              <w:t>Competency Questions (CQs)</w:t>
            </w:r>
          </w:p>
        </w:tc>
        <w:tc>
          <w:p w14:paraId="4E27796B">
            <w:pPr>
              <w:jc w:val="left"/>
            </w:pPr>
            <w:r>
              <w:t>What is DPsim? Dynamic Phasor simulation</w:t>
            </w:r>
          </w:p>
          <w:p w14:paraId="7F1C0552">
            <w:pPr>
              <w:jc w:val="left"/>
            </w:pPr>
            <w:r>
              <w:softHyphen/>
            </w:r>
            <w:r>
              <w:t>What is CIM? Common Information Model</w:t>
            </w:r>
          </w:p>
          <w:p w14:paraId="54E26EF7">
            <w:pPr>
              <w:jc w:val="left"/>
            </w:pPr>
            <w:r>
              <w:softHyphen/>
            </w:r>
            <w:r>
              <w:t>What is DER in a microgrid? Distributed energy resource</w:t>
            </w:r>
          </w:p>
          <w:p w14:paraId="4CEDE1F0">
            <w:pPr>
              <w:jc w:val="left"/>
            </w:pPr>
            <w:r>
              <w:softHyphen/>
            </w:r>
            <w:r>
              <w:t>What is a microgrid? A local power system connected to or isolated from the main grid.</w:t>
            </w:r>
          </w:p>
          <w:p w14:paraId="707D03A8">
            <w:pPr>
              <w:jc w:val="left"/>
            </w:pPr>
            <w:r>
              <w:softHyphen/>
            </w:r>
            <w:r>
              <w:t>What is sensitivity analysis? Analysis of influence factors in power systems.</w:t>
            </w:r>
          </w:p>
        </w:tc>
      </w:tr>
      <w:tr w14:paraId="770E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A230E7">
            <w:pPr>
              <w:jc w:val="left"/>
            </w:pPr>
            <w:r>
              <w:rPr>
                <w:b/>
                <w:bCs/>
              </w:rPr>
              <w:t>Pre-Glossary</w:t>
            </w:r>
          </w:p>
        </w:tc>
        <w:tc>
          <w:p w14:paraId="12CA09D0">
            <w:pPr>
              <w:jc w:val="left"/>
            </w:pPr>
            <w:r>
              <w:t>DSO, RTDS, OPAL-RT, CIM, HiL, MIOB, MVDS, ENERSHARE, digital twin, microservices.</w:t>
            </w:r>
          </w:p>
        </w:tc>
      </w:tr>
    </w:tbl>
    <w:p w14:paraId="34CF8009">
      <w:pPr>
        <w:spacing w:before="240"/>
      </w:pPr>
      <w:r>
        <w:t xml:space="preserve"> </w:t>
      </w:r>
    </w:p>
    <w:p w14:paraId="10B7E2A4">
      <w:pPr>
        <w:pStyle w:val="3"/>
        <w:spacing w:after="200"/>
        <w:jc w:val="left"/>
      </w:pPr>
      <w:r>
        <w:t>6. Node 5 — TEF BUILD (Buildings)</w:t>
      </w:r>
    </w:p>
    <w:p w14:paraId="7B5DE77C">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64D12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F23F8B1">
            <w:pPr>
              <w:jc w:val="left"/>
            </w:pPr>
            <w:r>
              <w:rPr>
                <w:b/>
                <w:bCs/>
              </w:rPr>
              <w:t>Tasks</w:t>
            </w:r>
          </w:p>
        </w:tc>
        <w:tc>
          <w:p w14:paraId="006057F7">
            <w:pPr>
              <w:jc w:val="left"/>
            </w:pPr>
            <w:r>
              <w:rPr>
                <w:b/>
                <w:bCs/>
              </w:rPr>
              <w:t>Description</w:t>
            </w:r>
          </w:p>
        </w:tc>
      </w:tr>
      <w:tr w14:paraId="3AFB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E20FAC">
            <w:pPr>
              <w:jc w:val="left"/>
            </w:pPr>
            <w:r>
              <w:rPr>
                <w:b/>
                <w:bCs/>
              </w:rPr>
              <w:t>Purpose</w:t>
            </w:r>
          </w:p>
        </w:tc>
        <w:tc>
          <w:p w14:paraId="0597B22E">
            <w:pPr>
              <w:jc w:val="left"/>
            </w:pPr>
            <w:r>
              <w:t>Support energy efficiency in buildings through semantic modelling of smart metering, BEMS, and AI-driven analytics for monitoring, forecasting, demand response, and optimisation of shiftable assets.</w:t>
            </w:r>
          </w:p>
        </w:tc>
      </w:tr>
      <w:tr w14:paraId="39E7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0966D1">
            <w:pPr>
              <w:jc w:val="left"/>
            </w:pPr>
            <w:r>
              <w:rPr>
                <w:b/>
                <w:bCs/>
              </w:rPr>
              <w:t>Scope</w:t>
            </w:r>
          </w:p>
        </w:tc>
        <w:tc>
          <w:p w14:paraId="73C5681F">
            <w:pPr>
              <w:jc w:val="left"/>
            </w:pPr>
            <w:r>
              <w:t>Behind-the-meter systems, building energy consumption/production, ambient intelligence, BEMS, shiftable loads (EVs), municipal building portfolios, and building-integrated photovoltaics (BIPV).</w:t>
            </w:r>
          </w:p>
        </w:tc>
      </w:tr>
      <w:tr w14:paraId="27EE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E26F36">
            <w:pPr>
              <w:jc w:val="left"/>
            </w:pPr>
            <w:r>
              <w:rPr>
                <w:b/>
                <w:bCs/>
              </w:rPr>
              <w:t>Physical Assets</w:t>
            </w:r>
          </w:p>
        </w:tc>
        <w:tc>
          <w:p w14:paraId="178ABD0D">
            <w:pPr>
              <w:jc w:val="left"/>
            </w:pPr>
            <w:r>
              <w:t>Behind-the-meter smart-metering equipment; Building-integrated photovoltaics (BIPVs); Portfolio of municipal buildings.</w:t>
            </w:r>
          </w:p>
        </w:tc>
      </w:tr>
      <w:tr w14:paraId="7B59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CD2557">
            <w:pPr>
              <w:jc w:val="left"/>
            </w:pPr>
            <w:r>
              <w:rPr>
                <w:b/>
                <w:bCs/>
              </w:rPr>
              <w:t>Intended End-Users</w:t>
            </w:r>
          </w:p>
        </w:tc>
        <w:tc>
          <w:p w14:paraId="066C6269">
            <w:pPr>
              <w:jc w:val="left"/>
            </w:pPr>
            <w:r>
              <w:t>TEF Node Operators; AI Industry Stakeholders; Building/facility managers.</w:t>
            </w:r>
          </w:p>
        </w:tc>
      </w:tr>
      <w:tr w14:paraId="37072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821FB7">
            <w:pPr>
              <w:jc w:val="left"/>
            </w:pPr>
            <w:r>
              <w:rPr>
                <w:b/>
                <w:bCs/>
              </w:rPr>
              <w:t>Intended Uses</w:t>
            </w:r>
          </w:p>
        </w:tc>
        <w:tc>
          <w:p w14:paraId="03FAF5BF">
            <w:pPr>
              <w:jc w:val="left"/>
            </w:pPr>
            <w:r>
              <w:rPr>
                <w:b/>
                <w:bCs/>
              </w:rPr>
              <w:t>Energy efficiency in buildings</w:t>
            </w:r>
            <w:r>
              <w:t xml:space="preserve"> via smart metering, </w:t>
            </w:r>
            <w:r>
              <w:rPr>
                <w:b/>
                <w:bCs/>
              </w:rPr>
              <w:t>BEMS (Building Energy Management Systems)</w:t>
            </w:r>
            <w:r>
              <w:t xml:space="preserve">, and </w:t>
            </w:r>
            <w:r>
              <w:rPr>
                <w:b/>
                <w:bCs/>
              </w:rPr>
              <w:t>AI-driven analytics</w:t>
            </w:r>
            <w:r>
              <w:t>. Specific: building monitoring and consumption forecasting; ambient intelligence for appliance scheduling; optimisation of shiftable building assets (EVs, BEMS); intelligent demand response schemes with storage at city-level infrastructure.</w:t>
            </w:r>
          </w:p>
        </w:tc>
      </w:tr>
      <w:tr w14:paraId="6494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466AB5">
            <w:pPr>
              <w:jc w:val="left"/>
            </w:pPr>
            <w:r>
              <w:rPr>
                <w:b/>
                <w:bCs/>
              </w:rPr>
              <w:t>Data Access (Non-functional)</w:t>
            </w:r>
          </w:p>
        </w:tc>
        <w:tc>
          <w:p w14:paraId="7A523578">
            <w:pPr>
              <w:jc w:val="left"/>
            </w:pPr>
            <w:r>
              <w:rPr>
                <w:b/>
                <w:bCs/>
              </w:rPr>
              <w:t>Offline CSV</w:t>
            </w:r>
            <w:r>
              <w:t xml:space="preserve"> and </w:t>
            </w:r>
            <w:r>
              <w:rPr>
                <w:b/>
                <w:bCs/>
              </w:rPr>
              <w:t>online via local platforms</w:t>
            </w:r>
            <w:r>
              <w:t xml:space="preserve">; </w:t>
            </w:r>
            <w:r>
              <w:rPr>
                <w:b/>
                <w:bCs/>
              </w:rPr>
              <w:t>no API available</w:t>
            </w:r>
            <w:r>
              <w:t>.</w:t>
            </w:r>
          </w:p>
        </w:tc>
      </w:tr>
      <w:tr w14:paraId="11E77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DB5EF0">
            <w:pPr>
              <w:jc w:val="left"/>
            </w:pPr>
            <w:r>
              <w:rPr>
                <w:b/>
                <w:bCs/>
              </w:rPr>
              <w:t>Competency Questions (CQs)</w:t>
            </w:r>
          </w:p>
        </w:tc>
        <w:tc>
          <w:p w14:paraId="54A5206B">
            <w:pPr>
              <w:jc w:val="left"/>
            </w:pPr>
            <w:r>
              <w:t xml:space="preserve">What is BEMS? Building energy management system. </w:t>
            </w:r>
          </w:p>
          <w:p w14:paraId="6F97EC7F">
            <w:pPr>
              <w:jc w:val="left"/>
            </w:pPr>
            <w:r>
              <w:softHyphen/>
            </w:r>
            <w:r>
              <w:t xml:space="preserve">What is BIPV? Building-integrated photovoltaics. </w:t>
            </w:r>
          </w:p>
          <w:p w14:paraId="759A7417">
            <w:pPr>
              <w:jc w:val="left"/>
            </w:pPr>
            <w:r>
              <w:softHyphen/>
            </w:r>
            <w:r>
              <w:t xml:space="preserve">What behind-the-meter data is available? Consumption, production, demand profiles. </w:t>
            </w:r>
          </w:p>
        </w:tc>
      </w:tr>
      <w:tr w14:paraId="37F41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C8289E">
            <w:pPr>
              <w:jc w:val="left"/>
            </w:pPr>
            <w:r>
              <w:rPr>
                <w:b/>
                <w:bCs/>
              </w:rPr>
              <w:t>Pre-Glossary</w:t>
            </w:r>
          </w:p>
        </w:tc>
        <w:tc>
          <w:p w14:paraId="5C7D8D0B">
            <w:pPr>
              <w:jc w:val="left"/>
            </w:pPr>
            <w:r>
              <w:t>BEMS, BIPV, behind-the-meter, demand response, shiftable load, smart meter.</w:t>
            </w:r>
          </w:p>
        </w:tc>
      </w:tr>
    </w:tbl>
    <w:p w14:paraId="5E6B82D5">
      <w:pPr>
        <w:spacing w:before="240"/>
      </w:pPr>
      <w:r>
        <w:t xml:space="preserve"> </w:t>
      </w:r>
    </w:p>
    <w:p w14:paraId="53513ECA">
      <w:pPr>
        <w:spacing w:before="240"/>
      </w:pPr>
    </w:p>
    <w:p w14:paraId="63224A30">
      <w:pPr>
        <w:pStyle w:val="3"/>
        <w:spacing w:after="200"/>
        <w:jc w:val="left"/>
      </w:pPr>
      <w:r>
        <w:t>7. Satellite 1 — TEF H2 (Hydrogen)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07C2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AB6AA0D">
            <w:pPr>
              <w:jc w:val="left"/>
            </w:pPr>
            <w:r>
              <w:rPr>
                <w:b/>
                <w:bCs/>
              </w:rPr>
              <w:t>Tasks</w:t>
            </w:r>
          </w:p>
        </w:tc>
        <w:tc>
          <w:p w14:paraId="317A0863">
            <w:pPr>
              <w:jc w:val="left"/>
            </w:pPr>
            <w:r>
              <w:rPr>
                <w:b/>
                <w:bCs/>
              </w:rPr>
              <w:t>Description</w:t>
            </w:r>
          </w:p>
        </w:tc>
      </w:tr>
      <w:tr w14:paraId="45813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94069E">
            <w:pPr>
              <w:jc w:val="left"/>
            </w:pPr>
            <w:r>
              <w:rPr>
                <w:b/>
                <w:bCs/>
              </w:rPr>
              <w:t>Purpose</w:t>
            </w:r>
          </w:p>
        </w:tc>
        <w:tc>
          <w:p w14:paraId="6B4462E2">
            <w:pPr>
              <w:jc w:val="left"/>
            </w:pPr>
            <w:r>
              <w:t>Support research and optimisation of hydrogen technologies through a shared ontology for fuel cells, electrolysers, hybrid mobility, and AI-driven predictive modelling and control in microgrids and hybrid systems.</w:t>
            </w:r>
          </w:p>
        </w:tc>
      </w:tr>
      <w:tr w14:paraId="0C6F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F672F5">
            <w:pPr>
              <w:jc w:val="left"/>
            </w:pPr>
            <w:r>
              <w:rPr>
                <w:b/>
                <w:bCs/>
              </w:rPr>
              <w:t>Scope</w:t>
            </w:r>
          </w:p>
        </w:tc>
        <w:tc>
          <w:p w14:paraId="68104814">
            <w:pPr>
              <w:jc w:val="left"/>
            </w:pPr>
            <w:r>
              <w:t>Fuel cell and electrolyser test benches, HIL platforms, high-performance computing for simulation, FCHEV energy management, degradation and efficiency optimisation.</w:t>
            </w:r>
          </w:p>
        </w:tc>
      </w:tr>
      <w:tr w14:paraId="042A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B95442">
            <w:pPr>
              <w:jc w:val="left"/>
            </w:pPr>
            <w:r>
              <w:rPr>
                <w:b/>
                <w:bCs/>
              </w:rPr>
              <w:t>Physical Assets</w:t>
            </w:r>
          </w:p>
        </w:tc>
        <w:tc>
          <w:p w14:paraId="688F0D87">
            <w:pPr>
              <w:jc w:val="left"/>
            </w:pPr>
            <w:r>
              <w:t>Hybrid Mobility Testing facility; High-performance computer cluster; Fuel Cell Test Benches; Water Electrolyser Test Benches; Local HIL platform (Typhoon HIL).</w:t>
            </w:r>
          </w:p>
        </w:tc>
      </w:tr>
      <w:tr w14:paraId="2836D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B51379">
            <w:pPr>
              <w:jc w:val="left"/>
            </w:pPr>
            <w:r>
              <w:rPr>
                <w:b/>
                <w:bCs/>
              </w:rPr>
              <w:t>Intended End-Users</w:t>
            </w:r>
          </w:p>
        </w:tc>
        <w:tc>
          <w:p w14:paraId="4C99432A">
            <w:pPr>
              <w:jc w:val="left"/>
            </w:pPr>
            <w:r>
              <w:t>TEF Node Operators; AI Industry Stakeholders; Hydrogen/mobility researchers.</w:t>
            </w:r>
          </w:p>
        </w:tc>
      </w:tr>
      <w:tr w14:paraId="2419A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2E5443">
            <w:pPr>
              <w:jc w:val="left"/>
            </w:pPr>
            <w:r>
              <w:rPr>
                <w:b/>
                <w:bCs/>
              </w:rPr>
              <w:t>Intended Uses</w:t>
            </w:r>
          </w:p>
        </w:tc>
        <w:tc>
          <w:p w14:paraId="4819DDBC">
            <w:pPr>
              <w:jc w:val="left"/>
            </w:pPr>
            <w:r>
              <w:t xml:space="preserve">Research and optimisation of </w:t>
            </w:r>
            <w:r>
              <w:rPr>
                <w:b/>
                <w:bCs/>
              </w:rPr>
              <w:t>hydrogen technologies</w:t>
            </w:r>
            <w:r>
              <w:t xml:space="preserve"> (fuel cells, electrolysers) with </w:t>
            </w:r>
            <w:r>
              <w:rPr>
                <w:b/>
                <w:bCs/>
              </w:rPr>
              <w:t>AI-driven predictive modelling and control</w:t>
            </w:r>
            <w:r>
              <w:t xml:space="preserve"> for </w:t>
            </w:r>
            <w:r>
              <w:rPr>
                <w:b/>
                <w:bCs/>
              </w:rPr>
              <w:t>microgrids and hybrid systems</w:t>
            </w:r>
            <w:r>
              <w:t>. Specific: predictive modelling for fuel cell performance and degradation; AI-driven active control for fuel cell efficiency; energy management for FCHEVs.</w:t>
            </w:r>
          </w:p>
        </w:tc>
      </w:tr>
      <w:tr w14:paraId="129A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4E498C">
            <w:pPr>
              <w:jc w:val="left"/>
            </w:pPr>
            <w:r>
              <w:rPr>
                <w:b/>
                <w:bCs/>
              </w:rPr>
              <w:t>Data Access (Non-functional)</w:t>
            </w:r>
          </w:p>
        </w:tc>
        <w:tc>
          <w:p w14:paraId="1F4C2755">
            <w:pPr>
              <w:jc w:val="left"/>
            </w:pPr>
            <w:r>
              <w:rPr>
                <w:b/>
                <w:bCs/>
              </w:rPr>
              <w:t>Offline data available</w:t>
            </w:r>
            <w:r>
              <w:t xml:space="preserve">; </w:t>
            </w:r>
            <w:r>
              <w:rPr>
                <w:b/>
                <w:bCs/>
              </w:rPr>
              <w:t>no online data access</w:t>
            </w:r>
            <w:r>
              <w:t xml:space="preserve">; users may be </w:t>
            </w:r>
            <w:r>
              <w:rPr>
                <w:b/>
                <w:bCs/>
              </w:rPr>
              <w:t>redirected to local platform managed by FEMTO-ST</w:t>
            </w:r>
            <w:r>
              <w:t xml:space="preserve">; </w:t>
            </w:r>
            <w:r>
              <w:rPr>
                <w:b/>
                <w:bCs/>
              </w:rPr>
              <w:t>no API</w:t>
            </w:r>
            <w:r>
              <w:t xml:space="preserve"> for service execution.</w:t>
            </w:r>
          </w:p>
        </w:tc>
      </w:tr>
      <w:tr w14:paraId="7B86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CB79CC">
            <w:pPr>
              <w:jc w:val="left"/>
            </w:pPr>
            <w:r>
              <w:rPr>
                <w:b/>
                <w:bCs/>
              </w:rPr>
              <w:t>Competency Questions (CQs)</w:t>
            </w:r>
          </w:p>
        </w:tc>
        <w:tc>
          <w:p w14:paraId="4202CF2B">
            <w:pPr>
              <w:jc w:val="left"/>
            </w:pPr>
            <w:r>
              <w:softHyphen/>
            </w:r>
            <w:r>
              <w:t xml:space="preserve">What is FCHEV? Fuel cell hybrid electric vehicle. </w:t>
            </w:r>
          </w:p>
          <w:p w14:paraId="1BAC2DD3">
            <w:pPr>
              <w:jc w:val="left"/>
            </w:pPr>
            <w:r>
              <w:softHyphen/>
            </w:r>
            <w:r>
              <w:t>What parameters affect fuel cell degradation? Current, voltage, temperature, humidity, pressure, load cycles.</w:t>
            </w:r>
          </w:p>
        </w:tc>
      </w:tr>
      <w:tr w14:paraId="769F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77DDD8">
            <w:pPr>
              <w:jc w:val="left"/>
            </w:pPr>
            <w:r>
              <w:rPr>
                <w:b/>
                <w:bCs/>
              </w:rPr>
              <w:t>Pre-Glossary</w:t>
            </w:r>
          </w:p>
        </w:tc>
        <w:tc>
          <w:p w14:paraId="0BCA78AC">
            <w:pPr>
              <w:jc w:val="left"/>
            </w:pPr>
            <w:r>
              <w:t>H2, FCHEV, electrolyser, fuel cell, HIL, Typhoon HIL, FEMTO-ST, microgrid.</w:t>
            </w:r>
          </w:p>
        </w:tc>
      </w:tr>
    </w:tbl>
    <w:p w14:paraId="08D2145F">
      <w:pPr>
        <w:spacing w:before="240"/>
      </w:pPr>
      <w:r>
        <w:t xml:space="preserve"> </w:t>
      </w:r>
    </w:p>
    <w:p w14:paraId="357B81E2">
      <w:pPr>
        <w:pStyle w:val="3"/>
        <w:spacing w:after="200"/>
        <w:jc w:val="left"/>
      </w:pPr>
      <w:r>
        <w:t>8. Satellite 2 — TEF IND (Industrial Manufacturing)</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1C4D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CA14775">
            <w:pPr>
              <w:jc w:val="left"/>
            </w:pPr>
            <w:r>
              <w:rPr>
                <w:b/>
                <w:bCs/>
              </w:rPr>
              <w:t>Tasks</w:t>
            </w:r>
          </w:p>
        </w:tc>
        <w:tc>
          <w:p w14:paraId="42D63C32">
            <w:pPr>
              <w:jc w:val="left"/>
            </w:pPr>
            <w:r>
              <w:rPr>
                <w:b/>
                <w:bCs/>
              </w:rPr>
              <w:t>Description</w:t>
            </w:r>
          </w:p>
        </w:tc>
      </w:tr>
      <w:tr w14:paraId="6A46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8DDBF6">
            <w:pPr>
              <w:jc w:val="left"/>
            </w:pPr>
            <w:r>
              <w:rPr>
                <w:b/>
                <w:bCs/>
              </w:rPr>
              <w:t>Purpose</w:t>
            </w:r>
          </w:p>
        </w:tc>
        <w:tc>
          <w:p w14:paraId="3C887E8D">
            <w:pPr>
              <w:jc w:val="left"/>
            </w:pPr>
            <w:r>
              <w:t>Enable semantic representation of industrial manufacturing processes and equipment to support optimisation of energy consumption, adaptive scheduling, digital-twin-based process optimisation, and training of AI services.</w:t>
            </w:r>
          </w:p>
        </w:tc>
      </w:tr>
      <w:tr w14:paraId="6AD7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68F8A0">
            <w:pPr>
              <w:jc w:val="left"/>
            </w:pPr>
            <w:r>
              <w:rPr>
                <w:b/>
                <w:bCs/>
              </w:rPr>
              <w:t>Scope</w:t>
            </w:r>
          </w:p>
        </w:tc>
        <w:tc>
          <w:p w14:paraId="20A21A62">
            <w:pPr>
              <w:jc w:val="left"/>
            </w:pPr>
            <w:r>
              <w:t>Manufacturing processes, monitoring and computational equipment, energy consumption profiles, grid-interactive flexibility, and DT-integrated production scenarios.</w:t>
            </w:r>
          </w:p>
        </w:tc>
      </w:tr>
      <w:tr w14:paraId="4599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58D4A0">
            <w:pPr>
              <w:jc w:val="left"/>
            </w:pPr>
            <w:r>
              <w:rPr>
                <w:b/>
                <w:bCs/>
              </w:rPr>
              <w:t>Physical Assets</w:t>
            </w:r>
          </w:p>
        </w:tc>
        <w:tc>
          <w:p w14:paraId="0F148B20">
            <w:pPr>
              <w:jc w:val="left"/>
            </w:pPr>
            <w:r>
              <w:t>Manufacturing processes; Monitoring equipment; Computational Equipment.</w:t>
            </w:r>
          </w:p>
        </w:tc>
      </w:tr>
      <w:tr w14:paraId="3592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E6B8F2">
            <w:pPr>
              <w:jc w:val="left"/>
            </w:pPr>
            <w:r>
              <w:rPr>
                <w:b/>
                <w:bCs/>
              </w:rPr>
              <w:t>Intended End-Users</w:t>
            </w:r>
          </w:p>
        </w:tc>
        <w:tc>
          <w:p w14:paraId="669B2276">
            <w:pPr>
              <w:jc w:val="left"/>
            </w:pPr>
            <w:r>
              <w:t>TEF Node Operators; AI Industry Stakeholders; Industrial facility operators.</w:t>
            </w:r>
          </w:p>
        </w:tc>
      </w:tr>
      <w:tr w14:paraId="5AC2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D4BE2D">
            <w:pPr>
              <w:jc w:val="left"/>
            </w:pPr>
            <w:r>
              <w:rPr>
                <w:b/>
                <w:bCs/>
              </w:rPr>
              <w:t>Intended Uses</w:t>
            </w:r>
          </w:p>
        </w:tc>
        <w:tc>
          <w:p w14:paraId="3C084E69">
            <w:pPr>
              <w:jc w:val="left"/>
            </w:pPr>
            <w:r>
              <w:rPr>
                <w:b/>
                <w:bCs/>
              </w:rPr>
              <w:t>Optimisation of industrial manufacturing</w:t>
            </w:r>
            <w:r>
              <w:t xml:space="preserve"> and </w:t>
            </w:r>
            <w:r>
              <w:rPr>
                <w:b/>
                <w:bCs/>
              </w:rPr>
              <w:t>training AI services</w:t>
            </w:r>
            <w:r>
              <w:t>. Specific: energy consumption optimisation in manufacturing; adaptive scheduling and predictive maintenance responding to grid signals; DT-based manufacturing process optimisation; prediction of manufacturing energy consumption profiles.</w:t>
            </w:r>
          </w:p>
        </w:tc>
      </w:tr>
      <w:tr w14:paraId="643A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63BEF9">
            <w:pPr>
              <w:jc w:val="left"/>
            </w:pPr>
            <w:r>
              <w:rPr>
                <w:b/>
                <w:bCs/>
              </w:rPr>
              <w:t>Data Access (Non-functional)</w:t>
            </w:r>
          </w:p>
        </w:tc>
        <w:tc>
          <w:p w14:paraId="504787B4">
            <w:pPr>
              <w:jc w:val="left"/>
            </w:pPr>
            <w:r>
              <w:rPr>
                <w:b/>
                <w:bCs/>
              </w:rPr>
              <w:t>Mostly offline data</w:t>
            </w:r>
            <w:r>
              <w:t xml:space="preserve">; </w:t>
            </w:r>
            <w:r>
              <w:rPr>
                <w:b/>
                <w:bCs/>
              </w:rPr>
              <w:t>API limited to service-specific implementations</w:t>
            </w:r>
            <w:r>
              <w:t xml:space="preserve">; data collection platform and communication protocols are </w:t>
            </w:r>
            <w:r>
              <w:rPr>
                <w:b/>
                <w:bCs/>
              </w:rPr>
              <w:t>case-dependent</w:t>
            </w:r>
            <w:r>
              <w:t>.</w:t>
            </w:r>
          </w:p>
        </w:tc>
      </w:tr>
      <w:tr w14:paraId="2B3E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EF9F98">
            <w:pPr>
              <w:jc w:val="left"/>
            </w:pPr>
            <w:r>
              <w:rPr>
                <w:b/>
                <w:bCs/>
              </w:rPr>
              <w:t>Competency Questions (CQs)</w:t>
            </w:r>
          </w:p>
        </w:tc>
        <w:tc>
          <w:p w14:paraId="5DDA068D">
            <w:pPr>
              <w:jc w:val="left"/>
            </w:pPr>
            <w:r>
              <w:t xml:space="preserve">Which elements are involved in Industrial Manufacturing? Manufacturing processes, monitoring equipment, computational equipment. </w:t>
            </w:r>
          </w:p>
          <w:p w14:paraId="0FAC0424">
            <w:pPr>
              <w:jc w:val="left"/>
            </w:pPr>
            <w:r>
              <w:softHyphen/>
            </w:r>
            <w:r>
              <w:t xml:space="preserve">What sensor data supports adaptive scheduling? Power, energy, machine status, environmental conditions, maintenance records. </w:t>
            </w:r>
            <w:r>
              <w:softHyphen/>
            </w:r>
            <w:r>
              <w:t>How is a manufacturing DT used? Simulation and optimisation of production scenarios before deployment.</w:t>
            </w:r>
          </w:p>
        </w:tc>
      </w:tr>
      <w:tr w14:paraId="3C58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AFB2C5">
            <w:pPr>
              <w:jc w:val="left"/>
            </w:pPr>
            <w:r>
              <w:rPr>
                <w:b/>
                <w:bCs/>
              </w:rPr>
              <w:t>Pre-Glossary</w:t>
            </w:r>
          </w:p>
        </w:tc>
        <w:tc>
          <w:p w14:paraId="171B1EA3">
            <w:pPr>
              <w:jc w:val="left"/>
            </w:pPr>
            <w:r>
              <w:t>DT, adaptive scheduling, manufacturing energy profile, grid signal, predictive maintenance.</w:t>
            </w:r>
          </w:p>
        </w:tc>
      </w:tr>
    </w:tbl>
    <w:p w14:paraId="4EFBAA30">
      <w:pPr>
        <w:spacing w:before="240"/>
      </w:pPr>
      <w:r>
        <w:t xml:space="preserve"> </w:t>
      </w:r>
    </w:p>
    <w:p w14:paraId="1CF4452D">
      <w:pPr>
        <w:pStyle w:val="3"/>
        <w:spacing w:after="200"/>
        <w:jc w:val="left"/>
      </w:pPr>
      <w:r>
        <w:t>9. Satellite 3 — TEF DHN (District Heating Networks)</w:t>
      </w:r>
    </w:p>
    <w:p w14:paraId="0140772A">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5286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FA91598">
            <w:pPr>
              <w:jc w:val="left"/>
            </w:pPr>
            <w:r>
              <w:rPr>
                <w:b/>
                <w:bCs/>
              </w:rPr>
              <w:t>Tasks</w:t>
            </w:r>
          </w:p>
        </w:tc>
        <w:tc>
          <w:p w14:paraId="5E191EBE">
            <w:pPr>
              <w:jc w:val="left"/>
            </w:pPr>
            <w:r>
              <w:rPr>
                <w:b/>
                <w:bCs/>
              </w:rPr>
              <w:t>Description</w:t>
            </w:r>
          </w:p>
        </w:tc>
      </w:tr>
      <w:tr w14:paraId="35C7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7BC68E">
            <w:pPr>
              <w:jc w:val="left"/>
            </w:pPr>
            <w:r>
              <w:rPr>
                <w:b/>
                <w:bCs/>
              </w:rPr>
              <w:t>Purpose</w:t>
            </w:r>
          </w:p>
        </w:tc>
        <w:tc>
          <w:p w14:paraId="23797694">
            <w:pPr>
              <w:jc w:val="left"/>
            </w:pPr>
            <w:r>
              <w:t>Provide a shared semantic model of district heating networks (DHNs) enabling AI-based optimisation, demand forecasting, and Digital Twin–supported decision making within TEF.</w:t>
            </w:r>
          </w:p>
        </w:tc>
      </w:tr>
      <w:tr w14:paraId="113B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64CB42">
            <w:pPr>
              <w:jc w:val="left"/>
            </w:pPr>
            <w:r>
              <w:rPr>
                <w:b/>
                <w:bCs/>
              </w:rPr>
              <w:t>Scope</w:t>
            </w:r>
          </w:p>
        </w:tc>
        <w:tc>
          <w:p w14:paraId="1E4EFC87">
            <w:pPr>
              <w:jc w:val="left"/>
            </w:pPr>
            <w:r>
              <w:t>District heating and cooling networks at district level (boiler rooms) and building level (substations): energy consumption, operational states, control actions, and variables for forecasting and DT analysis.</w:t>
            </w:r>
          </w:p>
        </w:tc>
      </w:tr>
      <w:tr w14:paraId="2FAD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8EBF22">
            <w:pPr>
              <w:jc w:val="left"/>
            </w:pPr>
            <w:r>
              <w:rPr>
                <w:b/>
                <w:bCs/>
              </w:rPr>
              <w:t>Physical Assets</w:t>
            </w:r>
          </w:p>
        </w:tc>
        <w:tc>
          <w:p w14:paraId="6AA0D0DD">
            <w:pPr>
              <w:jc w:val="left"/>
            </w:pPr>
            <w:r>
              <w:t>Torrelago district (pilot DHN site).</w:t>
            </w:r>
          </w:p>
        </w:tc>
      </w:tr>
      <w:tr w14:paraId="79DD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16D509">
            <w:pPr>
              <w:jc w:val="left"/>
            </w:pPr>
            <w:r>
              <w:rPr>
                <w:b/>
                <w:bCs/>
              </w:rPr>
              <w:t>Intended End-Users</w:t>
            </w:r>
          </w:p>
        </w:tc>
        <w:tc>
          <w:p w14:paraId="5CCE70CF">
            <w:pPr>
              <w:jc w:val="left"/>
            </w:pPr>
            <w:r>
              <w:t>TEF Node Operators; AI Industry Stakeholders; DHN operators.</w:t>
            </w:r>
          </w:p>
        </w:tc>
      </w:tr>
      <w:tr w14:paraId="4FC1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60BA65">
            <w:pPr>
              <w:jc w:val="left"/>
            </w:pPr>
            <w:r>
              <w:rPr>
                <w:b/>
                <w:bCs/>
              </w:rPr>
              <w:t>Intended Uses</w:t>
            </w:r>
          </w:p>
        </w:tc>
        <w:tc>
          <w:p w14:paraId="0DAE4D64">
            <w:pPr>
              <w:jc w:val="left"/>
            </w:pPr>
            <w:r>
              <w:rPr>
                <w:b/>
                <w:bCs/>
              </w:rPr>
              <w:t>AI-driven optimisation of DHNs</w:t>
            </w:r>
            <w:r>
              <w:t xml:space="preserve"> using </w:t>
            </w:r>
            <w:r>
              <w:rPr>
                <w:b/>
                <w:bCs/>
              </w:rPr>
              <w:t>DTs</w:t>
            </w:r>
            <w:r>
              <w:t xml:space="preserve">, </w:t>
            </w:r>
            <w:r>
              <w:rPr>
                <w:b/>
                <w:bCs/>
              </w:rPr>
              <w:t>demand forecasting</w:t>
            </w:r>
            <w:r>
              <w:t xml:space="preserve">, and </w:t>
            </w:r>
            <w:r>
              <w:rPr>
                <w:b/>
                <w:bCs/>
              </w:rPr>
              <w:t>efficiency improvements</w:t>
            </w:r>
            <w:r>
              <w:t>. Specific: energy consumption optimisation at district and substation level; energy demand forecasting; Digital Twin for DHCN optimisation simulating production scenarios.</w:t>
            </w:r>
          </w:p>
        </w:tc>
      </w:tr>
      <w:tr w14:paraId="798F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7BCDFC">
            <w:pPr>
              <w:jc w:val="left"/>
            </w:pPr>
            <w:r>
              <w:rPr>
                <w:b/>
                <w:bCs/>
              </w:rPr>
              <w:t>Data Access (Non-functional)</w:t>
            </w:r>
          </w:p>
        </w:tc>
        <w:tc>
          <w:p w14:paraId="369C0899">
            <w:pPr>
              <w:jc w:val="left"/>
            </w:pPr>
            <w:r>
              <w:t xml:space="preserve">Data accessible </w:t>
            </w:r>
            <w:r>
              <w:rPr>
                <w:b/>
                <w:bCs/>
              </w:rPr>
              <w:t>offline via CSV files</w:t>
            </w:r>
            <w:r>
              <w:t>.</w:t>
            </w:r>
          </w:p>
        </w:tc>
      </w:tr>
      <w:tr w14:paraId="605F0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501" w:hRule="atLeast"/>
        </w:trPr>
        <w:tc>
          <w:p w14:paraId="7B19F294">
            <w:pPr>
              <w:jc w:val="left"/>
            </w:pPr>
            <w:r>
              <w:rPr>
                <w:b/>
                <w:bCs/>
              </w:rPr>
              <w:t>Competency Questions (CQs)</w:t>
            </w:r>
          </w:p>
        </w:tc>
        <w:tc>
          <w:p w14:paraId="10884B97">
            <w:pPr>
              <w:jc w:val="left"/>
            </w:pPr>
            <w:r>
              <w:t xml:space="preserve">What is a DHN? District heating network. </w:t>
            </w:r>
          </w:p>
          <w:p w14:paraId="5773BEC1">
            <w:pPr>
              <w:jc w:val="left"/>
            </w:pPr>
            <w:r>
              <w:softHyphen/>
            </w:r>
            <w:r>
              <w:t xml:space="preserve">What entities constitute at building level? Substations, heat exchangers, local demand. </w:t>
            </w:r>
          </w:p>
          <w:p w14:paraId="7C49EE0B">
            <w:pPr>
              <w:jc w:val="left"/>
            </w:pPr>
            <w:r>
              <w:softHyphen/>
            </w:r>
            <w:r>
              <w:t xml:space="preserve">What </w:t>
            </w:r>
            <w:r>
              <w:rPr>
                <w:rFonts w:hint="eastAsia"/>
                <w:lang w:val="en-US" w:eastAsia="zh-CN"/>
              </w:rPr>
              <w:t xml:space="preserve">elements </w:t>
            </w:r>
            <w:r>
              <w:t>feed demand forecasting? Historical consumption, outdoor temperature, weather.</w:t>
            </w:r>
          </w:p>
        </w:tc>
      </w:tr>
      <w:tr w14:paraId="59B5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49B2A7">
            <w:pPr>
              <w:jc w:val="left"/>
            </w:pPr>
            <w:r>
              <w:rPr>
                <w:b/>
                <w:bCs/>
              </w:rPr>
              <w:t>Pre-Glossary</w:t>
            </w:r>
          </w:p>
        </w:tc>
        <w:tc>
          <w:p w14:paraId="2E07E9BC">
            <w:pPr>
              <w:jc w:val="left"/>
            </w:pPr>
            <w:r>
              <w:t>DHN, DHCN, substation, demand forecasting.</w:t>
            </w:r>
          </w:p>
        </w:tc>
      </w:tr>
    </w:tbl>
    <w:p w14:paraId="09BBF877">
      <w:pPr>
        <w:spacing w:before="240"/>
      </w:pPr>
      <w:r>
        <w:t xml:space="preserve"> </w:t>
      </w:r>
    </w:p>
    <w:p w14:paraId="307AE998">
      <w:pPr>
        <w:pStyle w:val="3"/>
        <w:spacing w:after="200"/>
        <w:jc w:val="left"/>
      </w:pPr>
      <w:r>
        <w:t>10. Non-Functional Requirements</w:t>
      </w:r>
    </w:p>
    <w:p w14:paraId="20E093FB">
      <w:pPr>
        <w:pStyle w:val="9"/>
        <w:keepNext w:val="0"/>
        <w:keepLines w:val="0"/>
        <w:widowControl/>
        <w:suppressLineNumbers w:val="0"/>
        <w:jc w:val="left"/>
        <w:rPr>
          <w:rFonts w:hint="default" w:ascii="Times New Roman" w:hAnsi="Times New Roman" w:cs="Times New Roman"/>
          <w:color w:val="000000"/>
          <w:lang w:val="en-US"/>
        </w:rPr>
      </w:pPr>
      <w:r>
        <w:rPr>
          <w:rFonts w:hint="default" w:ascii="Times New Roman" w:hAnsi="Times New Roman" w:cs="Times New Roman"/>
          <w:color w:val="000000"/>
          <w:lang w:val="en-US"/>
        </w:rPr>
        <w:t>The ontology should be able to handle a growing number of concepts and instances.</w:t>
      </w:r>
    </w:p>
    <w:p w14:paraId="4CDA69E1">
      <w:pPr>
        <w:pStyle w:val="9"/>
        <w:keepNext w:val="0"/>
        <w:keepLines w:val="0"/>
        <w:widowControl/>
        <w:suppressLineNumbers w:val="0"/>
        <w:jc w:val="left"/>
        <w:rPr>
          <w:rFonts w:hint="default" w:ascii="Times New Roman" w:hAnsi="Times New Roman" w:cs="Times New Roman"/>
          <w:color w:val="000000"/>
          <w:lang w:val="en-US"/>
        </w:rPr>
      </w:pPr>
      <w:r>
        <w:rPr>
          <w:rFonts w:hint="default" w:ascii="Times New Roman" w:hAnsi="Times New Roman" w:cs="Times New Roman"/>
          <w:color w:val="000000"/>
          <w:lang w:val="en-US"/>
        </w:rPr>
        <w:t>The developed ontology must be presented in a common ontology language.</w:t>
      </w:r>
    </w:p>
    <w:p w14:paraId="4DE59E50">
      <w:pPr>
        <w:pStyle w:val="9"/>
        <w:keepNext w:val="0"/>
        <w:keepLines w:val="0"/>
        <w:widowControl/>
        <w:suppressLineNumbers w:val="0"/>
        <w:jc w:val="left"/>
        <w:rPr>
          <w:rFonts w:hint="default" w:ascii="Times New Roman" w:hAnsi="Times New Roman" w:cs="Times New Roman"/>
          <w:color w:val="000000"/>
          <w:lang w:val="en-US"/>
        </w:rPr>
      </w:pPr>
      <w:r>
        <w:rPr>
          <w:rFonts w:hint="default" w:ascii="Times New Roman" w:hAnsi="Times New Roman" w:cs="Times New Roman"/>
          <w:color w:val="000000"/>
          <w:lang w:val="en-US"/>
        </w:rPr>
        <w:t>The developed ontology must be based on the existing knowledge sources.</w:t>
      </w:r>
    </w:p>
    <w:p w14:paraId="1B205739">
      <w:pPr>
        <w:pStyle w:val="9"/>
        <w:keepNext w:val="0"/>
        <w:keepLines w:val="0"/>
        <w:widowControl/>
        <w:suppressLineNumbers w:val="0"/>
        <w:jc w:val="left"/>
        <w:rPr>
          <w:rFonts w:hint="default" w:ascii="Times New Roman" w:hAnsi="Times New Roman" w:cs="Times New Roman"/>
          <w:color w:val="000000"/>
          <w:lang w:val="en-US"/>
        </w:rPr>
      </w:pPr>
      <w:r>
        <w:rPr>
          <w:rFonts w:hint="default" w:ascii="Times New Roman" w:hAnsi="Times New Roman" w:cs="Times New Roman"/>
          <w:color w:val="000000"/>
          <w:lang w:val="en-US"/>
        </w:rPr>
        <w:t>The ontology should maintain internal consistency, ensuring that concepts and relationships are logically sound and do not contradict each other.</w:t>
      </w:r>
    </w:p>
    <w:p w14:paraId="4F95A6FF">
      <w:pPr>
        <w:spacing w:before="240"/>
      </w:pPr>
    </w:p>
    <w:p w14:paraId="618B2746">
      <w:pPr>
        <w:spacing w:before="240"/>
        <w:rPr>
          <w:rFonts w:hint="default" w:eastAsia="宋体"/>
          <w:lang w:val="en-US" w:eastAsia="zh-CN"/>
        </w:rPr>
      </w:pPr>
      <w:bookmarkStart w:id="0" w:name="_GoBack"/>
      <w:bookmarkEnd w:id="0"/>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532692A"/>
    <w:rsid w:val="1DDC0E05"/>
    <w:rsid w:val="4C9C3696"/>
    <w:rsid w:val="5CD54DC2"/>
    <w:rsid w:val="681C261F"/>
    <w:rsid w:val="7D1257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paragraph" w:styleId="2">
    <w:name w:val="heading 1"/>
    <w:next w:val="1"/>
    <w:qFormat/>
    <w:uiPriority w:val="0"/>
    <w:pPr>
      <w:jc w:val="left"/>
    </w:pPr>
    <w:rPr>
      <w:rFonts w:ascii="Times New Roman" w:hAnsi="Times New Roman" w:eastAsia="宋体" w:cs="Times New Roman"/>
      <w:b/>
      <w:bCs/>
      <w:color w:val="000000"/>
      <w:sz w:val="40"/>
      <w:szCs w:val="40"/>
    </w:rPr>
  </w:style>
  <w:style w:type="paragraph" w:styleId="3">
    <w:name w:val="heading 2"/>
    <w:next w:val="1"/>
    <w:qFormat/>
    <w:uiPriority w:val="0"/>
    <w:pPr>
      <w:jc w:val="left"/>
    </w:pPr>
    <w:rPr>
      <w:rFonts w:ascii="Times New Roman" w:hAnsi="Times New Roman" w:eastAsia="宋体" w:cs="Times New Roman"/>
      <w:b/>
      <w:bCs/>
      <w:color w:val="000000"/>
      <w:sz w:val="36"/>
      <w:szCs w:val="36"/>
    </w:rPr>
  </w:style>
  <w:style w:type="paragraph" w:styleId="4">
    <w:name w:val="heading 3"/>
    <w:next w:val="1"/>
    <w:qFormat/>
    <w:uiPriority w:val="0"/>
    <w:pPr>
      <w:jc w:val="left"/>
    </w:pPr>
    <w:rPr>
      <w:rFonts w:ascii="Times New Roman" w:hAnsi="Times New Roman" w:eastAsia="宋体" w:cs="Times New Roman"/>
      <w:b/>
      <w:bCs/>
      <w:color w:val="000000"/>
      <w:sz w:val="32"/>
      <w:szCs w:val="32"/>
    </w:rPr>
  </w:style>
  <w:style w:type="paragraph" w:styleId="5">
    <w:name w:val="heading 4"/>
    <w:next w:val="1"/>
    <w:qFormat/>
    <w:uiPriority w:val="0"/>
    <w:pPr>
      <w:jc w:val="left"/>
    </w:pPr>
    <w:rPr>
      <w:rFonts w:ascii="Times New Roman" w:hAnsi="Times New Roman" w:eastAsia="宋体" w:cs="Times New Roman"/>
      <w:b/>
      <w:bCs/>
      <w:color w:val="000000"/>
      <w:sz w:val="28"/>
      <w:szCs w:val="28"/>
    </w:rPr>
  </w:style>
  <w:style w:type="paragraph" w:styleId="6">
    <w:name w:val="heading 5"/>
    <w:next w:val="1"/>
    <w:qFormat/>
    <w:uiPriority w:val="0"/>
    <w:pPr>
      <w:jc w:val="left"/>
    </w:pPr>
    <w:rPr>
      <w:rFonts w:ascii="Times New Roman" w:hAnsi="Times New Roman" w:eastAsia="宋体" w:cs="Times New Roman"/>
      <w:b/>
      <w:bCs/>
      <w:color w:val="000000"/>
      <w:sz w:val="24"/>
      <w:szCs w:val="24"/>
    </w:rPr>
  </w:style>
  <w:style w:type="paragraph" w:styleId="7">
    <w:name w:val="heading 6"/>
    <w:next w:val="1"/>
    <w:qFormat/>
    <w:uiPriority w:val="0"/>
    <w:pPr>
      <w:jc w:val="left"/>
    </w:pPr>
    <w:rPr>
      <w:rFonts w:ascii="Times New Roman" w:hAnsi="Times New Roman" w:eastAsia="宋体" w:cs="Times New Roman"/>
      <w:b/>
      <w:bCs/>
      <w:color w:val="000000"/>
      <w:sz w:val="20"/>
      <w:szCs w:val="20"/>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6"/>
    <w:semiHidden/>
    <w:unhideWhenUsed/>
    <w:uiPriority w:val="99"/>
    <w:pPr>
      <w:spacing w:after="0" w:line="240" w:lineRule="auto"/>
      <w:jc w:val="left"/>
    </w:pPr>
    <w:rPr>
      <w:rFonts w:ascii="Times New Roman" w:hAnsi="Times New Roman" w:eastAsia="宋体" w:cs="Times New Roman"/>
      <w:sz w:val="20"/>
      <w:szCs w:val="2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qFormat/>
    <w:uiPriority w:val="0"/>
    <w:pPr>
      <w:jc w:val="left"/>
    </w:pPr>
    <w:rPr>
      <w:rFonts w:ascii="Times New Roman" w:hAnsi="Times New Roman" w:eastAsia="宋体" w:cs="Times New Roman"/>
      <w:sz w:val="56"/>
      <w:szCs w:val="56"/>
    </w:rPr>
  </w:style>
  <w:style w:type="character" w:styleId="13">
    <w:name w:val="Hyperlink"/>
    <w:unhideWhenUsed/>
    <w:uiPriority w:val="99"/>
    <w:rPr>
      <w:color w:val="0563C1"/>
      <w:u w:val="single"/>
    </w:rPr>
  </w:style>
  <w:style w:type="character" w:styleId="14">
    <w:name w:val="footnote reference"/>
    <w:semiHidden/>
    <w:unhideWhenUsed/>
    <w:uiPriority w:val="99"/>
    <w:rPr>
      <w:vertAlign w:val="superscript"/>
    </w:rPr>
  </w:style>
  <w:style w:type="paragraph" w:styleId="15">
    <w:name w:val="List Paragraph"/>
    <w:qFormat/>
    <w:uiPriority w:val="0"/>
    <w:pPr>
      <w:jc w:val="left"/>
    </w:pPr>
    <w:rPr>
      <w:rFonts w:ascii="Times New Roman" w:hAnsi="Times New Roman" w:eastAsia="宋体" w:cs="Times New Roman"/>
      <w:sz w:val="24"/>
      <w:szCs w:val="24"/>
    </w:rPr>
  </w:style>
  <w:style w:type="character" w:customStyle="1" w:styleId="16">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1775</Words>
  <Characters>12484</Characters>
  <TotalTime>74</TotalTime>
  <ScaleCrop>false</ScaleCrop>
  <LinksUpToDate>false</LinksUpToDate>
  <CharactersWithSpaces>14109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2026-06-01T08:57:00Z</dcterms:created>
  <dc:creator>Un-named</dc:creator>
  <cp:lastModifiedBy>高某婷</cp:lastModifiedBy>
  <dcterms:modified xsi:type="dcterms:W3CDTF">2026-06-08T18:36:01Z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eyJoZGlkIjoiODViY2JkMjU3NGYzZTEwMzZmMGFkZWViYmNkYWU3NDIiLCJ1c2VySWQiOiIyNzcxMDMxMzkifQ==</vt:lpwstr>
  </property>
  <property fmtid="{D5CDD505-2E9C-101B-9397-08002B2CF9AE}" pid="3" name="KSOProductBuildVer">
    <vt:lpwstr>2052-12.1.0.26895</vt:lpwstr>
  </property>
  <property fmtid="{D5CDD505-2E9C-101B-9397-08002B2CF9AE}" pid="4" name="ICV">
    <vt:lpwstr>C2746168A04B440387B2DF181E49F41B_13</vt:lpwstr>
  </property>
</Properties>
</file>