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pPr>
        <w:jc w:val="center"/>
      </w:pPr>
      <w:r>
        <w:rPr>
          <w:b/>
          <w:bCs/>
          <w:color w:val="00838F"/>
          <w:sz w:val="30"/>
          <w:szCs w:val="30"/>
          <w:rFonts w:ascii="Arial" w:cs="Arial" w:eastAsia="Arial" w:hAnsi="Arial"/>
        </w:rPr>
        <w:t xml:space="preserve">RIESGOS365</w:t>
      </w:r>
    </w:p>
    <w:p>
      <w:pPr>
        <w:spacing w:before="100"/>
        <w:jc w:val="center"/>
      </w:pPr>
      <w:r>
        <w:rPr>
          <w:b/>
          <w:bCs/>
          <w:color w:val="1A1A1A"/>
          <w:sz w:val="56"/>
          <w:szCs w:val="56"/>
          <w:rFonts w:ascii="Arial" w:cs="Arial" w:eastAsia="Arial" w:hAnsi="Arial"/>
        </w:rPr>
        <w:t xml:space="preserve">MANUAL DE USUARIO</w:t>
      </w:r>
    </w:p>
    <w:p>
      <w:pPr>
        <w:spacing w:before="100"/>
        <w:jc w:val="center"/>
      </w:pPr>
      <w:r>
        <w:rPr>
          <w:b/>
          <w:bCs/>
          <w:color w:val="333333"/>
          <w:sz w:val="34"/>
          <w:szCs w:val="34"/>
          <w:rFonts w:ascii="Arial" w:cs="Arial" w:eastAsia="Arial" w:hAnsi="Arial"/>
        </w:rPr>
        <w:t xml:space="preserve">Microservicio de Segmentación y Cruces de Contrapartes</w:t>
      </w:r>
    </w:p>
    <w:p>
      <w:pPr>
        <w:spacing w:before="80"/>
        <w:jc w:val="center"/>
      </w:pPr>
      <w:r>
        <w:rPr>
          <w:color w:val="555555"/>
          <w:sz w:val="24"/>
          <w:szCs w:val="24"/>
          <w:rFonts w:ascii="Arial" w:cs="Arial" w:eastAsia="Arial" w:hAnsi="Arial"/>
        </w:rPr>
        <w:t xml:space="preserve">Servicio backend (Python) consumido vía API REST por la plataforma Riesgos365 en PHP</w:t>
      </w:r>
    </w:p>
    <w:p>
      <w:pPr>
        <w:spacing w:before="60"/>
        <w:jc w:val="center"/>
      </w:pPr>
      <w:r>
        <w:rPr>
          <w:color w:val="555555"/>
          <w:sz w:val="20"/>
          <w:szCs w:val="20"/>
          <w:rFonts w:ascii="Arial" w:cs="Arial" w:eastAsia="Arial" w:hAnsi="Arial"/>
        </w:rPr>
        <w:t xml:space="preserve">Versión 1.0 · Septiembre de 2026</w:t>
      </w:r>
    </w:p>
    <w:p/>
    <w:p>
      <w:r>
        <w:t xml:space="preserve"> </w:t>
      </w:r>
    </w:p>
    <w:p>
      <w:r>
        <w:rPr>
          <w:b/>
          <w:bCs/>
          <w:color w:val="00838F"/>
          <w:sz w:val="32"/>
          <w:szCs w:val="32"/>
          <w:rFonts w:ascii="Arial" w:cs="Arial" w:eastAsia="Arial" w:hAnsi="Arial"/>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before="200"/>
      </w:pPr>
      <w:r>
        <w:rPr>
          <w:i/>
          <w:iCs/>
          <w:color w:val="555555"/>
          <w:sz w:val="18"/>
          <w:szCs w:val="18"/>
          <w:rFonts w:ascii="Arial" w:cs="Arial" w:eastAsia="Arial" w:hAnsi="Arial"/>
        </w:rPr>
        <w:t xml:space="preserve">Word: haga clic derecho sobre la tabla y elija "Actualizar campo" si no se ve completa al abrir el documento.</w:t>
      </w:r>
    </w:p>
    <w:p>
      <w:r>
        <w:br w:type="page"/>
      </w:r>
    </w:p>
    <w:p>
      <w:pPr>
        <w:pStyle w:val="Heading1"/>
        <w:spacing w:before="400" w:after="120"/>
      </w:pPr>
      <w:r>
        <w:rPr>
          <w:b/>
          <w:bCs/>
          <w:color w:val="00838F"/>
          <w:sz w:val="46"/>
          <w:szCs w:val="46"/>
          <w:rFonts w:ascii="Arial" w:cs="Arial" w:eastAsia="Arial" w:hAnsi="Arial"/>
        </w:rPr>
        <w:t xml:space="preserve">1. Introducción</w:t>
      </w:r>
    </w:p>
    <w:p>
      <w:pPr>
        <w:spacing w:after="160" w:line="276"/>
      </w:pPr>
      <w:r>
        <w:rPr>
          <w:sz w:val="22"/>
          <w:szCs w:val="22"/>
          <w:rFonts w:ascii="Arial" w:cs="Arial" w:eastAsia="Arial" w:hAnsi="Arial"/>
        </w:rPr>
        <w:t xml:space="preserve">El Microservicio de Segmentación y Cruces de Contrapartes es un servicio backend de Riesgos365, desarrollado en Python (FastAPI), que NO tiene interfaz propia para el usuario final. Su función es exponer una API REST que analiza la información transaccional de clientes, proveedores y empleados de una empresa, detecta contrapartes que participan en más de un rol al mismo tiempo (“cruces”), mide el avance de la debida diligencia (DD) y segmenta el riesgo por sector, jurisdicción y ubicación geográfica.</w:t>
      </w:r>
    </w:p>
    <w:p>
      <w:pPr>
        <w:spacing w:after="160" w:line="276"/>
      </w:pPr>
      <w:r>
        <w:rPr>
          <w:sz w:val="22"/>
          <w:szCs w:val="22"/>
          <w:rFonts w:ascii="Arial" w:cs="Arial" w:eastAsia="Arial" w:hAnsi="Arial"/>
        </w:rPr>
        <w:t xml:space="preserve">Este microservicio es consumido por la plataforma Riesgos365 desarrollada en PHP (Laravel), que es la que efectivamente presenta los resultados al usuario final (Oficial de Cumplimiento, responsable de riesgos, etc.). El microservicio recibe peticiones HTTP del aplicativo PHP, calcula los indicadores y el Informe Ejecutivo de Riesgos en PDF, y devuelve JSON, imágenes en base64 o el propio archivo PDF para que la plataforma PHP los muestre o los almacene.</w:t>
      </w:r>
    </w:p>
    <w:p>
      <w:pPr>
        <w:pStyle w:val="Heading2"/>
        <w:spacing w:before="300" w:after="100"/>
      </w:pPr>
      <w:r>
        <w:rPr>
          <w:b/>
          <w:bCs/>
          <w:color w:val="222222"/>
          <w:sz w:val="34"/>
          <w:szCs w:val="34"/>
          <w:rFonts w:ascii="Arial" w:cs="Arial" w:eastAsia="Arial" w:hAnsi="Arial"/>
        </w:rPr>
        <w:t xml:space="preserve">¿Quién debe usar este manual?</w:t>
      </w:r>
    </w:p>
    <w:p>
      <w:pPr>
        <w:spacing w:after="160" w:line="276"/>
      </w:pPr>
      <w:r>
        <w:rPr>
          <w:sz w:val="22"/>
          <w:szCs w:val="22"/>
          <w:rFonts w:ascii="Arial" w:cs="Arial" w:eastAsia="Arial" w:hAnsi="Arial"/>
        </w:rPr>
        <w:t xml:space="preserve">Está dirigido al equipo de desarrollo que integra o mantiene el aplicativo PHP (Laravel) de Riesgos365, y a cualquier persona que necesite entender qué hace este microservicio, qué endpoints expone y qué información produce, para poder consumirlo correctamente desde el backend PHP.</w:t>
      </w:r>
    </w:p>
    <w:p>
      <w:pPr>
        <w:pStyle w:val="Heading2"/>
        <w:spacing w:before="300" w:after="100"/>
      </w:pPr>
      <w:r>
        <w:rPr>
          <w:b/>
          <w:bCs/>
          <w:color w:val="222222"/>
          <w:sz w:val="34"/>
          <w:szCs w:val="34"/>
          <w:rFonts w:ascii="Arial" w:cs="Arial" w:eastAsia="Arial" w:hAnsi="Arial"/>
        </w:rPr>
        <w:t xml:space="preserve">¿Qué provee este microservicio?</w:t>
      </w:r>
    </w:p>
    <w:p>
      <w:pPr>
        <w:pStyle w:val="ListParagraph"/>
        <w:numPr>
          <w:ilvl w:val="0"/>
          <w:numId w:val="2"/>
        </w:numPr>
        <w:spacing w:after="100" w:line="276"/>
      </w:pPr>
      <w:r>
        <w:rPr>
          <w:sz w:val="22"/>
          <w:szCs w:val="22"/>
          <w:rFonts w:ascii="Arial" w:cs="Arial" w:eastAsia="Arial" w:hAnsi="Arial"/>
        </w:rPr>
        <w:t xml:space="preserve">Generación del Informe Ejecutivo de Riesgos en PDF, con las contrapartes sin debida diligencia, el avance de DD y un plan de acción sugerido.</w:t>
      </w:r>
    </w:p>
    <w:p>
      <w:pPr>
        <w:pStyle w:val="ListParagraph"/>
        <w:numPr>
          <w:ilvl w:val="0"/>
          <w:numId w:val="2"/>
        </w:numPr>
        <w:spacing w:after="100" w:line="276"/>
      </w:pPr>
      <w:r>
        <w:rPr>
          <w:sz w:val="22"/>
          <w:szCs w:val="22"/>
          <w:rFonts w:ascii="Arial" w:cs="Arial" w:eastAsia="Arial" w:hAnsi="Arial"/>
        </w:rPr>
        <w:t xml:space="preserve">Un detalle de cruces por contraparte (cliente-proveedor, proveedor-empleado, cliente-empleado y triple cruce), con montos, transacciones y estado de la debida diligencia, en formato JSON.</w:t>
      </w:r>
    </w:p>
    <w:p>
      <w:pPr>
        <w:pStyle w:val="ListParagraph"/>
        <w:numPr>
          <w:ilvl w:val="0"/>
          <w:numId w:val="2"/>
        </w:numPr>
        <w:spacing w:after="100" w:line="276"/>
      </w:pPr>
      <w:r>
        <w:rPr>
          <w:sz w:val="22"/>
          <w:szCs w:val="22"/>
          <w:rFonts w:ascii="Arial" w:cs="Arial" w:eastAsia="Arial" w:hAnsi="Arial"/>
        </w:rPr>
        <w:t xml:space="preserve">Una segmentación de riesgo por sector y ubicación, con mapa de riesgo de Colombia y estado GAFI de las jurisdicciones involucradas, también en JSON e imágenes.</w:t>
      </w:r>
    </w:p>
    <w:p>
      <w:pPr>
        <w:pStyle w:val="ListParagraph"/>
        <w:numPr>
          <w:ilvl w:val="0"/>
          <w:numId w:val="2"/>
        </w:numPr>
        <w:spacing w:after="100" w:line="276"/>
      </w:pPr>
      <w:r>
        <w:rPr>
          <w:sz w:val="22"/>
          <w:szCs w:val="22"/>
          <w:rFonts w:ascii="Arial" w:cs="Arial" w:eastAsia="Arial" w:hAnsi="Arial"/>
        </w:rPr>
        <w:t xml:space="preserve">El envío opcional del informe por correo electrónico a los destinatarios que indique el aplicativo PHP.</w:t>
      </w:r>
    </w:p>
    <w:p>
      <w:pPr>
        <w:pStyle w:val="Heading1"/>
        <w:spacing w:before="400" w:after="120"/>
      </w:pPr>
      <w:r>
        <w:rPr>
          <w:b/>
          <w:bCs/>
          <w:color w:val="00838F"/>
          <w:sz w:val="46"/>
          <w:szCs w:val="46"/>
          <w:rFonts w:ascii="Arial" w:cs="Arial" w:eastAsia="Arial" w:hAnsi="Arial"/>
        </w:rPr>
        <w:t xml:space="preserve">2. Arquitectura e integración con la plataforma PHP</w:t>
      </w:r>
    </w:p>
    <w:p>
      <w:pPr>
        <w:spacing w:after="160" w:line="276"/>
      </w:pPr>
      <w:r>
        <w:rPr>
          <w:sz w:val="22"/>
          <w:szCs w:val="22"/>
          <w:rFonts w:ascii="Arial" w:cs="Arial" w:eastAsia="Arial" w:hAnsi="Arial"/>
        </w:rPr>
        <w:t xml:space="preserve">El microservicio se ejecuta como un componente independiente (contenedor Docker propio) junto a la plataforma Riesgos365. La plataforma PHP (Laravel) es la única que interactúa directamente con el usuario final; cuando este solicita un análisis o un informe, Laravel hace una o varias llamadas HTTP a este microservicio y presenta el resultado en su propia interfaz.</w:t>
      </w:r>
    </w:p>
    <w:p>
      <w:pPr>
        <w:pStyle w:val="Heading2"/>
        <w:spacing w:before="300" w:after="100"/>
      </w:pPr>
      <w:r>
        <w:rPr>
          <w:b/>
          <w:bCs/>
          <w:color w:val="222222"/>
          <w:sz w:val="34"/>
          <w:szCs w:val="34"/>
          <w:rFonts w:ascii="Arial" w:cs="Arial" w:eastAsia="Arial" w:hAnsi="Arial"/>
        </w:rPr>
        <w:t xml:space="preserve">2.1 Flujo de integración típico</w:t>
      </w:r>
    </w:p>
    <w:p>
      <w:pPr>
        <w:spacing w:after="120" w:line="276"/>
        <w:ind w:left="260"/>
      </w:pPr>
      <w:r>
        <w:rPr>
          <w:b/>
          <w:bCs/>
          <w:sz w:val="22"/>
          <w:szCs w:val="22"/>
          <w:rFonts w:ascii="Arial" w:cs="Arial" w:eastAsia="Arial" w:hAnsi="Arial"/>
        </w:rPr>
        <w:t xml:space="preserve">1.	</w:t>
      </w:r>
      <w:r>
        <w:rPr>
          <w:sz w:val="22"/>
          <w:szCs w:val="22"/>
          <w:rFonts w:ascii="Arial" w:cs="Arial" w:eastAsia="Arial" w:hAnsi="Arial"/>
        </w:rPr>
        <w:t xml:space="preserve">El aplicativo PHP solicita un token de acceso al microservicio.</w:t>
      </w:r>
    </w:p>
    <w:p>
      <w:pPr>
        <w:spacing w:after="120" w:line="276"/>
        <w:ind w:left="260"/>
      </w:pPr>
      <w:r>
        <w:rPr>
          <w:b/>
          <w:bCs/>
          <w:sz w:val="22"/>
          <w:szCs w:val="22"/>
          <w:rFonts w:ascii="Arial" w:cs="Arial" w:eastAsia="Arial" w:hAnsi="Arial"/>
        </w:rPr>
        <w:t xml:space="preserve">2.	</w:t>
      </w:r>
      <w:r>
        <w:rPr>
          <w:sz w:val="22"/>
          <w:szCs w:val="22"/>
          <w:rFonts w:ascii="Arial" w:cs="Arial" w:eastAsia="Arial" w:hAnsi="Arial"/>
        </w:rPr>
        <w:t xml:space="preserve">El aplicativo PHP llama al endpoint correspondiente (generar informe, consultar cruces o consultar segmentación) enviando el token en la cabecera de autorización y el empresa_id de la empresa a analizar.</w:t>
      </w:r>
    </w:p>
    <w:p>
      <w:pPr>
        <w:spacing w:after="120" w:line="276"/>
        <w:ind w:left="260"/>
      </w:pPr>
      <w:r>
        <w:rPr>
          <w:b/>
          <w:bCs/>
          <w:sz w:val="22"/>
          <w:szCs w:val="22"/>
          <w:rFonts w:ascii="Arial" w:cs="Arial" w:eastAsia="Arial" w:hAnsi="Arial"/>
        </w:rPr>
        <w:t xml:space="preserve">3.	</w:t>
      </w:r>
      <w:r>
        <w:rPr>
          <w:sz w:val="22"/>
          <w:szCs w:val="22"/>
          <w:rFonts w:ascii="Arial" w:cs="Arial" w:eastAsia="Arial" w:hAnsi="Arial"/>
        </w:rPr>
        <w:t xml:space="preserve">El microservicio consulta la base de datos de origen (MySQL/MariaDB), calcula o reutiliza los indicadores, y arma la respuesta (JSON, imagen en base64 o archivo PDF).</w:t>
      </w:r>
    </w:p>
    <w:p>
      <w:pPr>
        <w:spacing w:after="120" w:line="276"/>
        <w:ind w:left="260"/>
      </w:pPr>
      <w:r>
        <w:rPr>
          <w:b/>
          <w:bCs/>
          <w:sz w:val="22"/>
          <w:szCs w:val="22"/>
          <w:rFonts w:ascii="Arial" w:cs="Arial" w:eastAsia="Arial" w:hAnsi="Arial"/>
        </w:rPr>
        <w:t xml:space="preserve">4.	</w:t>
      </w:r>
      <w:r>
        <w:rPr>
          <w:sz w:val="22"/>
          <w:szCs w:val="22"/>
          <w:rFonts w:ascii="Arial" w:cs="Arial" w:eastAsia="Arial" w:hAnsi="Arial"/>
        </w:rPr>
        <w:t xml:space="preserve">El aplicativo PHP recibe la respuesta y la muestra en su interfaz, la almacena o la reenvía al usuario final; si se solicitó envío por correo, el microservicio lo hace directamente antes de responder.</w:t>
      </w:r>
    </w:p>
    <w:p>
      <w:pPr>
        <w:pStyle w:val="Heading2"/>
        <w:spacing w:before="300" w:after="100"/>
      </w:pPr>
      <w:r>
        <w:rPr>
          <w:b/>
          <w:bCs/>
          <w:color w:val="222222"/>
          <w:sz w:val="34"/>
          <w:szCs w:val="34"/>
          <w:rFonts w:ascii="Arial" w:cs="Arial" w:eastAsia="Arial" w:hAnsi="Arial"/>
        </w:rPr>
        <w:t xml:space="preserve">2.2 Autenticación (JWT)</w:t>
      </w:r>
    </w:p>
    <w:p>
      <w:pPr>
        <w:spacing w:after="160" w:line="276"/>
      </w:pPr>
      <w:r>
        <w:rPr>
          <w:sz w:val="22"/>
          <w:szCs w:val="22"/>
          <w:rFonts w:ascii="Arial" w:cs="Arial" w:eastAsia="Arial" w:hAnsi="Arial"/>
        </w:rPr>
        <w:t xml:space="preserve">Todas las peticiones (salvo la emisión del propio token) deben incluir la cabecera:</w:t>
      </w:r>
    </w:p>
    <w:p>
      <w:pPr>
        <w:spacing w:after="160" w:line="276"/>
      </w:pPr>
      <w:r>
        <w:rPr>
          <w:sz w:val="22"/>
          <w:szCs w:val="22"/>
          <w:rFonts w:ascii="Arial" w:cs="Arial" w:eastAsia="Arial" w:hAnsi="Arial"/>
        </w:rPr>
      </w:r>
      <w:r>
        <w:rPr>
          <w:color w:val="B0224A"/>
          <w:sz w:val="20"/>
          <w:szCs w:val="20"/>
          <w:rFonts w:ascii="Consolas" w:cs="Consolas" w:eastAsia="Consolas" w:hAnsi="Consolas"/>
        </w:rPr>
        <w:t xml:space="preserve">Authorization: Bearer &lt;token&gt;</w:t>
      </w:r>
      <w:r>
        <w:rPr>
          <w:sz w:val="22"/>
          <w:szCs w:val="22"/>
          <w:rFonts w:ascii="Arial" w:cs="Arial" w:eastAsia="Arial" w:hAnsi="Arial"/>
        </w:rPr>
      </w:r>
    </w:p>
    <w:p>
      <w:pPr>
        <w:spacing w:after="160" w:line="276"/>
      </w:pPr>
      <w:r>
        <w:rPr>
          <w:sz w:val="22"/>
          <w:szCs w:val="22"/>
          <w:rFonts w:ascii="Arial" w:cs="Arial" w:eastAsia="Arial" w:hAnsi="Arial"/>
        </w:rPr>
        <w:t xml:space="preserve">El token se obtiene llamando al endpoint de autenticación (sección 3.1) y tiene una duración limitada configurable en minutos. El aplicativo PHP es responsable de renovarlo cuando expire; el microservicio no maneja usuarios ni contraseñas propias.</w:t>
      </w:r>
    </w:p>
    <w:p>
      <w:pPr>
        <w:spacing w:after="160" w:line="276"/>
      </w:pPr>
      <w:r>
        <w:rPr>
          <w:b/>
          <w:bCs/>
          <w:i/>
          <w:iCs/>
          <w:color w:val="555555"/>
          <w:sz w:val="22"/>
          <w:szCs w:val="22"/>
          <w:rFonts w:ascii="Arial" w:cs="Arial" w:eastAsia="Arial" w:hAnsi="Arial"/>
        </w:rPr>
        <w:t xml:space="preserve">Nota: </w:t>
      </w:r>
      <w:r>
        <w:rPr>
          <w:i/>
          <w:iCs/>
          <w:color w:val="555555"/>
          <w:sz w:val="22"/>
          <w:szCs w:val="22"/>
          <w:rFonts w:ascii="Arial" w:cs="Arial" w:eastAsia="Arial" w:hAnsi="Arial"/>
        </w:rPr>
        <w:t xml:space="preserve">El endpoint de procesamiento por lote de cruces (POST /api/v1/cruces/process-batch) no exige actualmente el token JWT en esta versión del servicio. Su acceso debe restringirse a la red interna (no debe exponerse directamente a internet).</w:t>
      </w:r>
    </w:p>
    <w:p>
      <w:pPr>
        <w:pStyle w:val="Heading1"/>
        <w:spacing w:before="400" w:after="120"/>
      </w:pPr>
      <w:r>
        <w:rPr>
          <w:b/>
          <w:bCs/>
          <w:color w:val="00838F"/>
          <w:sz w:val="46"/>
          <w:szCs w:val="46"/>
          <w:rFonts w:ascii="Arial" w:cs="Arial" w:eastAsia="Arial" w:hAnsi="Arial"/>
        </w:rPr>
        <w:t xml:space="preserve">3. Endpoints disponibles</w:t>
      </w:r>
    </w:p>
    <w:p>
      <w:pPr>
        <w:spacing w:after="160" w:line="276"/>
      </w:pPr>
      <w:r>
        <w:rPr>
          <w:sz w:val="22"/>
          <w:szCs w:val="22"/>
          <w:rFonts w:ascii="Arial" w:cs="Arial" w:eastAsia="Arial" w:hAnsi="Arial"/>
        </w:rPr>
        <w:t xml:space="preserve">Todos los endpoints están bajo el prefijo </w:t>
      </w:r>
    </w:p>
    <w:p>
      <w:pPr>
        <w:spacing w:after="160" w:line="276"/>
      </w:pPr>
      <w:r>
        <w:rPr>
          <w:sz w:val="22"/>
          <w:szCs w:val="22"/>
          <w:rFonts w:ascii="Arial" w:cs="Arial" w:eastAsia="Arial" w:hAnsi="Arial"/>
        </w:rPr>
      </w:r>
      <w:r>
        <w:rPr>
          <w:color w:val="B0224A"/>
          <w:sz w:val="20"/>
          <w:szCs w:val="20"/>
          <w:rFonts w:ascii="Consolas" w:cs="Consolas" w:eastAsia="Consolas" w:hAnsi="Consolas"/>
        </w:rPr>
        <w:t xml:space="preserve">/api/v1</w:t>
      </w:r>
      <w:r>
        <w:rPr>
          <w:sz w:val="22"/>
          <w:szCs w:val="22"/>
          <w:rFonts w:ascii="Arial" w:cs="Arial" w:eastAsia="Arial" w:hAnsi="Arial"/>
        </w:rPr>
        <w:t xml:space="preserve"> y devuelven JSON salvo que se indique lo contrario.</w:t>
      </w:r>
    </w:p>
    <w:p>
      <w:pPr>
        <w:pStyle w:val="Heading2"/>
        <w:spacing w:before="300" w:after="100"/>
      </w:pPr>
      <w:r>
        <w:rPr>
          <w:b/>
          <w:bCs/>
          <w:color w:val="222222"/>
          <w:sz w:val="34"/>
          <w:szCs w:val="34"/>
          <w:rFonts w:ascii="Arial" w:cs="Arial" w:eastAsia="Arial" w:hAnsi="Arial"/>
        </w:rPr>
        <w:t xml:space="preserve">3.1 Autenticación y generación de informes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900"/>
        <w:gridCol w:w="6125"/>
      </w:tblGrid>
      <w:tr>
        <w:tc>
          <w:tcPr>
            <w:tcW w:type="dxa" w:w="29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Método y endpoint</w:t>
            </w:r>
          </w:p>
        </w:tc>
        <w:tc>
          <w:tcPr>
            <w:tcW w:type="dxa" w:w="6125"/>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Qué hace</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POST /auth/token</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Emite el token JWT que el aplicativo PHP usa para autenticar las demás llamadas.</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POST /reports/pdf/request</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Endpoint principal que usa el aplicativo PHP: genera el Informe Ejecutivo de Riesgos en PDF a partir de empresa_id y los filtros indicados, lo sube a almacenamiento y opcionalmente lo envía por correo.</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POST /reports/pdf</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Variante simplificada por parámetros de consulta (empresa_id, tipo_contraparte, fecha, monto_min, validez_dd, refresh) para generar el mismo informe en PDF.</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POST /reports/html</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Genera una versión HTML del informe, útil cuando el aplicativo PHP necesita incrustarlo directamente en una página en lugar de descargar el PDF.</w:t>
            </w:r>
          </w:p>
        </w:tc>
      </w:tr>
    </w:tbl>
    <w:p/>
    <w:p>
      <w:pPr>
        <w:pStyle w:val="Heading2"/>
        <w:spacing w:before="300" w:after="100"/>
      </w:pPr>
      <w:r>
        <w:rPr>
          <w:b/>
          <w:bCs/>
          <w:color w:val="222222"/>
          <w:sz w:val="34"/>
          <w:szCs w:val="34"/>
          <w:rFonts w:ascii="Arial" w:cs="Arial" w:eastAsia="Arial" w:hAnsi="Arial"/>
        </w:rPr>
        <w:t xml:space="preserve">3.2 Cruces de contrapartes</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900"/>
        <w:gridCol w:w="6125"/>
      </w:tblGrid>
      <w:tr>
        <w:tc>
          <w:tcPr>
            <w:tcW w:type="dxa" w:w="29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Método y endpoint</w:t>
            </w:r>
          </w:p>
        </w:tc>
        <w:tc>
          <w:tcPr>
            <w:tcW w:type="dxa" w:w="6125"/>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Qué hace</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POST /cruces/process-batch</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Fuerza el recálculo completo de los cruces de contrapartes de una empresa (uso interno/batch).</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/cruces/analytics</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Devuelve el detalle de cruces en JSON; reutiliza el último resultado calculado salvo que se indique refresh.</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/cruces/dashboard</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Devuelve una vista HTML de los mismos datos, para tableros embebidos en la plataforma PHP.</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/cruces/export-json</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Exporta el JSON completo de cruces, sin los límites de tamaño que aplican a la respuesta normal.</w:t>
            </w:r>
          </w:p>
        </w:tc>
      </w:tr>
    </w:tbl>
    <w:p/>
    <w:p>
      <w:pPr>
        <w:pStyle w:val="Heading2"/>
        <w:spacing w:before="300" w:after="100"/>
      </w:pPr>
      <w:r>
        <w:rPr>
          <w:b/>
          <w:bCs/>
          <w:color w:val="222222"/>
          <w:sz w:val="34"/>
          <w:szCs w:val="34"/>
          <w:rFonts w:ascii="Arial" w:cs="Arial" w:eastAsia="Arial" w:hAnsi="Arial"/>
        </w:rPr>
        <w:t xml:space="preserve">3.3 Segmentación por sector y ubicación</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900"/>
        <w:gridCol w:w="6125"/>
      </w:tblGrid>
      <w:tr>
        <w:tc>
          <w:tcPr>
            <w:tcW w:type="dxa" w:w="29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Método y endpoint</w:t>
            </w:r>
          </w:p>
        </w:tc>
        <w:tc>
          <w:tcPr>
            <w:tcW w:type="dxa" w:w="6125"/>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Qué hace</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/analytics/sector-ubicacion</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Devuelve la segmentación de riesgo por sector y ubicación en JSON.</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/analytics/chart-image</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Devuelve en base64 la imagen del gráfico de distribución de riesgo (dona).</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/analytics/latest</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Devuelve la última instantánea de resultados generada para la empresa.</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GET /analytics/colombia-map</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Devuelve en base64 la imagen del mapa de riesgo de Colombia.</w:t>
            </w:r>
          </w:p>
        </w:tc>
      </w:tr>
      <w:tr>
        <w:tc>
          <w:tcPr>
            <w:tcW w:type="dxa" w:w="29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POST /analytics/sector-ubicacion/html</w:t>
            </w:r>
          </w:p>
        </w:tc>
        <w:tc>
          <w:tcPr>
            <w:tcW w:type="dxa" w:w="61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Genera la versión HTML de la segmentación por sector y ubicación.</w:t>
            </w:r>
          </w:p>
        </w:tc>
      </w:tr>
    </w:tbl>
    <w:p/>
    <w:p>
      <w:pPr>
        <w:pStyle w:val="Heading1"/>
        <w:spacing w:before="400" w:after="120"/>
      </w:pPr>
      <w:r>
        <w:rPr>
          <w:b/>
          <w:bCs/>
          <w:color w:val="00838F"/>
          <w:sz w:val="46"/>
          <w:szCs w:val="46"/>
          <w:rFonts w:ascii="Arial" w:cs="Arial" w:eastAsia="Arial" w:hAnsi="Arial"/>
        </w:rPr>
        <w:t xml:space="preserve">4. Parámetros y filtros</w:t>
      </w:r>
    </w:p>
    <w:p>
      <w:pPr>
        <w:spacing w:after="160" w:line="276"/>
      </w:pPr>
      <w:r>
        <w:rPr>
          <w:sz w:val="22"/>
          <w:szCs w:val="22"/>
          <w:rFonts w:ascii="Arial" w:cs="Arial" w:eastAsia="Arial" w:hAnsi="Arial"/>
        </w:rPr>
        <w:t xml:space="preserve">Estos son los parámetros que el aplicativo PHP debe enviar (por query string o en el cuerpo JSON, según el endpoint) para controlar el análisis y el informe generado.</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5"/>
      </w:tblGrid>
      <w:tr>
        <w:tc>
          <w:tcPr>
            <w:tcW w:type="dxa" w:w="22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Parámetro</w:t>
            </w:r>
          </w:p>
        </w:tc>
        <w:tc>
          <w:tcPr>
            <w:tcW w:type="dxa" w:w="26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Dónde se usa</w:t>
            </w:r>
          </w:p>
        </w:tc>
        <w:tc>
          <w:tcPr>
            <w:tcW w:type="dxa" w:w="4225"/>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Qué significa</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empresa_id</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Todos los endpoints</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Identifica la empresa cuyos datos se analizan; es la única llave de aislamiento entre empresas.</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tipo_contraparte</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 /reports/pdf/request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Etiqueta que se muestra en el encabezado del PDF (cliente/proveedor/empleado o “Universo General”).</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validez_dd</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 /cruces/process-batch, /cruces/analytics</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Vigencia en años (1 o 2) de un formulario de debida diligencia antes de considerarse vencido.</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refresh_data / refresh</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 /cruces/analytics</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Fuerza recalcular desde la base de datos en lugar de reutilizar el último resultado cacheado (BD/almacenamiento).</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filtros_pdf.fecha_desde / fecha_hasta</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Rango de fechas de las transacciones a incluir en el informe.</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filtros_pdf.monto_min / monto_min_tx</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Monto mínimo consolidado por contraparte y monto mínimo por transacción individual.</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filtros_pdf.sin_dd</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Limita el informe a contrapartes sin debida diligencia vigente.</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filtros_pdf.con_cruces</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Limita el informe a contrapartes con dos o más roles.</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filtros_pdf.relacion</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Limita el informe a cliente, proveedor, empleado o todas.</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oficial_conclusion</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Texto libre del oficial de cumplimiento; si se envía, se incluye como sección final del PDF.</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email_to</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Si se indica, el PDF generado se envía como adjunto a esa dirección tras generarse.</w:t>
            </w:r>
          </w:p>
        </w:tc>
      </w:tr>
      <w:tr>
        <w:tc>
          <w:tcPr>
            <w:tcW w:type="dxa" w:w="22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empresa_nombre</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/reports/pdf/request</w:t>
            </w:r>
          </w:p>
        </w:tc>
        <w:tc>
          <w:tcPr>
            <w:tcW w:type="dxa" w:w="42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Sobrescribe el nombre de la empresa mostrado en el PDF (por defecto se toma de la base de datos).</w:t>
            </w:r>
          </w:p>
        </w:tc>
      </w:tr>
    </w:tbl>
    <w:p/>
    <w:p>
      <w:pPr>
        <w:pStyle w:val="Heading1"/>
        <w:spacing w:before="400" w:after="120"/>
      </w:pPr>
      <w:r>
        <w:rPr>
          <w:b/>
          <w:bCs/>
          <w:color w:val="00838F"/>
          <w:sz w:val="46"/>
          <w:szCs w:val="46"/>
          <w:rFonts w:ascii="Arial" w:cs="Arial" w:eastAsia="Arial" w:hAnsi="Arial"/>
        </w:rPr>
        <w:t xml:space="preserve">5. Generar el Informe Ejecutivo de Riesgos (PDF)</w:t>
      </w:r>
    </w:p>
    <w:p>
      <w:pPr>
        <w:spacing w:after="160" w:line="276"/>
      </w:pPr>
      <w:r>
        <w:rPr>
          <w:sz w:val="22"/>
          <w:szCs w:val="22"/>
          <w:rFonts w:ascii="Arial" w:cs="Arial" w:eastAsia="Arial" w:hAnsi="Arial"/>
        </w:rPr>
        <w:t xml:space="preserve">El aplicativo PHP genera el informe llamando a POST /reports/pdf/request con el cuerpo JSON descrito en la sección 4. La operación completa (cálculo de cruces, segmentación, armado del PDF, subida a almacenamiento y envío de correo si aplica) se ejecuta de forma síncrona: la respuesta HTTP solo llega cuando el informe ya está listo.</w:t>
      </w:r>
    </w:p>
    <w:p>
      <w:pPr>
        <w:spacing w:after="120" w:line="276"/>
        <w:ind w:left="260"/>
      </w:pPr>
      <w:r>
        <w:rPr>
          <w:b/>
          <w:bCs/>
          <w:sz w:val="22"/>
          <w:szCs w:val="22"/>
          <w:rFonts w:ascii="Arial" w:cs="Arial" w:eastAsia="Arial" w:hAnsi="Arial"/>
        </w:rPr>
        <w:t xml:space="preserve">1.	</w:t>
      </w:r>
      <w:r>
        <w:rPr>
          <w:sz w:val="22"/>
          <w:szCs w:val="22"/>
          <w:rFonts w:ascii="Arial" w:cs="Arial" w:eastAsia="Arial" w:hAnsi="Arial"/>
        </w:rPr>
        <w:t xml:space="preserve">Si ya existe un análisis reciente para esa empresa y esos filtros, el microservicio reutiliza el resultado guardado para responder más rápido.</w:t>
      </w:r>
    </w:p>
    <w:p>
      <w:pPr>
        <w:spacing w:after="120" w:line="276"/>
        <w:ind w:left="260"/>
      </w:pPr>
      <w:r>
        <w:rPr>
          <w:b/>
          <w:bCs/>
          <w:sz w:val="22"/>
          <w:szCs w:val="22"/>
          <w:rFonts w:ascii="Arial" w:cs="Arial" w:eastAsia="Arial" w:hAnsi="Arial"/>
        </w:rPr>
        <w:t xml:space="preserve">2.	</w:t>
      </w:r>
      <w:r>
        <w:rPr>
          <w:sz w:val="22"/>
          <w:szCs w:val="22"/>
          <w:rFonts w:ascii="Arial" w:cs="Arial" w:eastAsia="Arial" w:hAnsi="Arial"/>
        </w:rPr>
        <w:t xml:space="preserve">Si refresh_data es verdadero, se fuerza un nuevo cálculo con la información más reciente de clientes, proveedores, empleados y formularios de debida diligencia.</w:t>
      </w:r>
    </w:p>
    <w:p>
      <w:pPr>
        <w:spacing w:after="120" w:line="276"/>
        <w:ind w:left="260"/>
      </w:pPr>
      <w:r>
        <w:rPr>
          <w:b/>
          <w:bCs/>
          <w:sz w:val="22"/>
          <w:szCs w:val="22"/>
          <w:rFonts w:ascii="Arial" w:cs="Arial" w:eastAsia="Arial" w:hAnsi="Arial"/>
        </w:rPr>
        <w:t xml:space="preserve">3.	</w:t>
      </w:r>
      <w:r>
        <w:rPr>
          <w:sz w:val="22"/>
          <w:szCs w:val="22"/>
          <w:rFonts w:ascii="Arial" w:cs="Arial" w:eastAsia="Arial" w:hAnsi="Arial"/>
        </w:rPr>
        <w:t xml:space="preserve">Si se envía email_to, el PDF generado se envía automáticamente como adjunto a esa dirección antes de responder la petición.</w:t>
      </w:r>
    </w:p>
    <w:p>
      <w:pPr>
        <w:spacing w:after="120" w:line="276"/>
        <w:ind w:left="260"/>
      </w:pPr>
      <w:r>
        <w:rPr>
          <w:b/>
          <w:bCs/>
          <w:sz w:val="22"/>
          <w:szCs w:val="22"/>
          <w:rFonts w:ascii="Arial" w:cs="Arial" w:eastAsia="Arial" w:hAnsi="Arial"/>
        </w:rPr>
        <w:t xml:space="preserve">4.	</w:t>
      </w:r>
      <w:r>
        <w:rPr>
          <w:sz w:val="22"/>
          <w:szCs w:val="22"/>
          <w:rFonts w:ascii="Arial" w:cs="Arial" w:eastAsia="Arial" w:hAnsi="Arial"/>
        </w:rPr>
        <w:t xml:space="preserve">La respuesta incluye el estado del proceso y los datos del archivo generado (ruta/URL de almacenamiento y empresa_id).</w:t>
      </w:r>
    </w:p>
    <w:p>
      <w:pPr>
        <w:spacing w:after="160" w:line="276"/>
      </w:pPr>
      <w:r>
        <w:rPr>
          <w:b/>
          <w:bCs/>
          <w:i/>
          <w:iCs/>
          <w:color w:val="555555"/>
          <w:sz w:val="22"/>
          <w:szCs w:val="22"/>
          <w:rFonts w:ascii="Arial" w:cs="Arial" w:eastAsia="Arial" w:hAnsi="Arial"/>
        </w:rPr>
        <w:t xml:space="preserve">Nota: </w:t>
      </w:r>
      <w:r>
        <w:rPr>
          <w:i/>
          <w:iCs/>
          <w:color w:val="555555"/>
          <w:sz w:val="22"/>
          <w:szCs w:val="22"/>
          <w:rFonts w:ascii="Arial" w:cs="Arial" w:eastAsia="Arial" w:hAnsi="Arial"/>
        </w:rPr>
        <w:t xml:space="preserve">Solo un informe generado sin filtros (Universo General) reemplaza el informe oficial anterior de la empresa y queda registrado en el histórico. Los informes generados con filtros se guardan aparte, como versiones de consulta, y no afectan el histórico oficial.</w:t>
      </w:r>
    </w:p>
    <w:p>
      <w:pPr>
        <w:pStyle w:val="Heading1"/>
        <w:spacing w:before="400" w:after="120"/>
      </w:pPr>
      <w:r>
        <w:rPr>
          <w:b/>
          <w:bCs/>
          <w:color w:val="00838F"/>
          <w:sz w:val="46"/>
          <w:szCs w:val="46"/>
          <w:rFonts w:ascii="Arial" w:cs="Arial" w:eastAsia="Arial" w:hAnsi="Arial"/>
        </w:rPr>
        <w:t xml:space="preserve">6. Estructura del Informe Ejecutivo de Riesgos (PDF)</w:t>
      </w:r>
    </w:p>
    <w:p>
      <w:pPr>
        <w:spacing w:after="160" w:line="276"/>
      </w:pPr>
      <w:r>
        <w:rPr>
          <w:sz w:val="22"/>
          <w:szCs w:val="22"/>
          <w:rFonts w:ascii="Arial" w:cs="Arial" w:eastAsia="Arial" w:hAnsi="Arial"/>
        </w:rPr>
        <w:t xml:space="preserve">El PDF que devuelve el microservicio se organiza siempre en el mismo orden, sin importar qué aplicativo lo consuma. A continuación se explica cada parte, de arriba hacia abajo, para que quien integre el servicio sepa qué esperar en el archivo.</w:t>
      </w:r>
    </w:p>
    <w:p>
      <w:pPr>
        <w:pStyle w:val="Heading2"/>
        <w:spacing w:before="300" w:after="100"/>
      </w:pPr>
      <w:r>
        <w:rPr>
          <w:b/>
          <w:bCs/>
          <w:color w:val="222222"/>
          <w:sz w:val="34"/>
          <w:szCs w:val="34"/>
          <w:rFonts w:ascii="Arial" w:cs="Arial" w:eastAsia="Arial" w:hAnsi="Arial"/>
        </w:rPr>
        <w:t xml:space="preserve">6.1 Encabezado del informe</w:t>
      </w:r>
    </w:p>
    <w:p>
      <w:pPr>
        <w:spacing w:after="160" w:line="276"/>
      </w:pPr>
      <w:r>
        <w:rPr>
          <w:sz w:val="22"/>
          <w:szCs w:val="22"/>
          <w:rFonts w:ascii="Arial" w:cs="Arial" w:eastAsia="Arial" w:hAnsi="Arial"/>
        </w:rPr>
        <w:t xml:space="preserve">Cada página incluye el título "INFORME EJECUTIVO DE RIESGOS" con el nombre de la empresa, el periodo analizado y el tipo de contraparte, además del pie de página "Plataforma Riesgos365 | Confidencial" con el número de página.</w:t>
      </w:r>
    </w:p>
    <w:p>
      <w:pPr>
        <w:pStyle w:val="Heading2"/>
        <w:spacing w:before="300" w:after="100"/>
      </w:pPr>
      <w:r>
        <w:rPr>
          <w:b/>
          <w:bCs/>
          <w:color w:val="222222"/>
          <w:sz w:val="34"/>
          <w:szCs w:val="34"/>
          <w:rFonts w:ascii="Arial" w:cs="Arial" w:eastAsia="Arial" w:hAnsi="Arial"/>
        </w:rPr>
        <w:t xml:space="preserve">6.2 Sección 1 — Contrapartes sin Debida Diligencia</w:t>
      </w:r>
    </w:p>
    <w:p>
      <w:pPr>
        <w:spacing w:after="160" w:line="276"/>
      </w:pPr>
      <w:r>
        <w:rPr>
          <w:sz w:val="22"/>
          <w:szCs w:val="22"/>
          <w:rFonts w:ascii="Arial" w:cs="Arial" w:eastAsia="Arial" w:hAnsi="Arial"/>
        </w:rPr>
        <w:t xml:space="preserve">Muestra tarjetas con la muestra analizada y el total de contrapartes sin DD, una tabla "Contrapartes sin Debida Diligencia" por rol (Clientes, Proveedores, Empleados y sus combinaciones) con las columnas Rol, Con DD, Sin DD y Total, y un gráfico de barras con la distribución de multi-vínculos (Cliente-Proveedor, Proveedor-Empleado, Cliente-Empleado).</w:t>
      </w:r>
    </w:p>
    <w:p>
      <w:pPr>
        <w:pStyle w:val="Heading2"/>
        <w:spacing w:before="300" w:after="100"/>
      </w:pPr>
      <w:r>
        <w:rPr>
          <w:b/>
          <w:bCs/>
          <w:color w:val="222222"/>
          <w:sz w:val="34"/>
          <w:szCs w:val="34"/>
          <w:rFonts w:ascii="Arial" w:cs="Arial" w:eastAsia="Arial" w:hAnsi="Arial"/>
        </w:rPr>
        <w:t xml:space="preserve">6.3 Sección 2 — Avance de debida diligencia</w:t>
      </w:r>
    </w:p>
    <w:p>
      <w:pPr>
        <w:spacing w:after="160" w:line="276"/>
      </w:pPr>
      <w:r>
        <w:rPr>
          <w:sz w:val="22"/>
          <w:szCs w:val="22"/>
          <w:rFonts w:ascii="Arial" w:cs="Arial" w:eastAsia="Arial" w:hAnsi="Arial"/>
        </w:rPr>
        <w:t xml:space="preserve">Presenta una barra de progreso segmentada (Cumplido / Pendiente / Crítico) con su leyenda, seguida de una tabla con las diez contrapartes críticas sin DD (columnas: ID, Empresa/Entidad, Tipo, Monto o transacciones de riesgo y Estado DD).</w:t>
      </w:r>
    </w:p>
    <w:p>
      <w:pPr>
        <w:pStyle w:val="Heading2"/>
        <w:spacing w:before="300" w:after="100"/>
      </w:pPr>
      <w:r>
        <w:rPr>
          <w:b/>
          <w:bCs/>
          <w:color w:val="222222"/>
          <w:sz w:val="34"/>
          <w:szCs w:val="34"/>
          <w:rFonts w:ascii="Arial" w:cs="Arial" w:eastAsia="Arial" w:hAnsi="Arial"/>
        </w:rPr>
        <w:t xml:space="preserve">6.4 Sección 3 — Plan de acción de contraparte</w:t>
      </w:r>
    </w:p>
    <w:p>
      <w:pPr>
        <w:spacing w:after="160" w:line="276"/>
      </w:pPr>
      <w:r>
        <w:rPr>
          <w:sz w:val="22"/>
          <w:szCs w:val="22"/>
          <w:rFonts w:ascii="Arial" w:cs="Arial" w:eastAsia="Arial" w:hAnsi="Arial"/>
        </w:rPr>
        <w:t xml:space="preserve">Incluye el subtítulo "Formatos de conocimiento de contraparte" y tres tarjetas de acción sugeridas: "01 Intervención inmediata", "02 Justificación de vínculos" y "03 Monitoreo activo".</w:t>
      </w:r>
    </w:p>
    <w:p>
      <w:pPr>
        <w:pStyle w:val="Heading2"/>
        <w:spacing w:before="300" w:after="100"/>
      </w:pPr>
      <w:r>
        <w:rPr>
          <w:b/>
          <w:bCs/>
          <w:color w:val="222222"/>
          <w:sz w:val="34"/>
          <w:szCs w:val="34"/>
          <w:rFonts w:ascii="Arial" w:cs="Arial" w:eastAsia="Arial" w:hAnsi="Arial"/>
        </w:rPr>
        <w:t xml:space="preserve">6.5 Conclusión general del informe</w:t>
      </w:r>
    </w:p>
    <w:p>
      <w:pPr>
        <w:spacing w:after="160" w:line="276"/>
      </w:pPr>
      <w:r>
        <w:rPr>
          <w:sz w:val="22"/>
          <w:szCs w:val="22"/>
          <w:rFonts w:ascii="Arial" w:cs="Arial" w:eastAsia="Arial" w:hAnsi="Arial"/>
        </w:rPr>
        <w:t xml:space="preserve">Un recuadro de cierre resume, en lenguaje narrativo, el porcentaje de contrapartes con cruces y el porcentaje de avance de la debida diligencia para el periodo analizado.</w:t>
      </w:r>
    </w:p>
    <w:p>
      <w:pPr>
        <w:pStyle w:val="Heading2"/>
        <w:spacing w:before="300" w:after="100"/>
      </w:pPr>
      <w:r>
        <w:rPr>
          <w:b/>
          <w:bCs/>
          <w:color w:val="222222"/>
          <w:sz w:val="34"/>
          <w:szCs w:val="34"/>
          <w:rFonts w:ascii="Arial" w:cs="Arial" w:eastAsia="Arial" w:hAnsi="Arial"/>
        </w:rPr>
        <w:t xml:space="preserve">6.6 Conclusiones del Oficial de Cumplimiento</w:t>
      </w:r>
    </w:p>
    <w:p>
      <w:pPr>
        <w:spacing w:after="160" w:line="276"/>
      </w:pPr>
      <w:r>
        <w:rPr>
          <w:sz w:val="22"/>
          <w:szCs w:val="22"/>
          <w:rFonts w:ascii="Arial" w:cs="Arial" w:eastAsia="Arial" w:hAnsi="Arial"/>
        </w:rPr>
        <w:t xml:space="preserve">Si el aplicativo PHP envió el campo oficial_conclusion al generar el informe (ver sección 4), aparece como bloque final del PDF. Si no se envió, esta sección no se incluye.</w:t>
      </w:r>
    </w:p>
    <w:p>
      <w:pPr>
        <w:pStyle w:val="Heading1"/>
        <w:spacing w:before="400" w:after="120"/>
      </w:pPr>
      <w:r>
        <w:rPr>
          <w:b/>
          <w:bCs/>
          <w:color w:val="00838F"/>
          <w:sz w:val="46"/>
          <w:szCs w:val="46"/>
          <w:rFonts w:ascii="Arial" w:cs="Arial" w:eastAsia="Arial" w:hAnsi="Arial"/>
        </w:rPr>
        <w:t xml:space="preserve">7. Cruces de contrapartes — estructura de la respuesta JSON</w:t>
      </w:r>
    </w:p>
    <w:p>
      <w:pPr>
        <w:spacing w:after="160" w:line="276"/>
      </w:pPr>
      <w:r>
        <w:rPr>
          <w:sz w:val="22"/>
          <w:szCs w:val="22"/>
          <w:rFonts w:ascii="Arial" w:cs="Arial" w:eastAsia="Arial" w:hAnsi="Arial"/>
        </w:rPr>
        <w:t xml:space="preserve">Un "cruce" es una contraparte (identificada por su documento) que aparece en más de un rol frente a la misma empresa: como cliente, proveedor y/o empleado. Los endpoints de la sección 3.2 devuelven este detalle completo, más allá de lo resumido en el PDF.</w:t>
      </w:r>
    </w:p>
    <w:p>
      <w:pPr>
        <w:pStyle w:val="Heading2"/>
        <w:spacing w:before="300" w:after="100"/>
      </w:pPr>
      <w:r>
        <w:rPr>
          <w:b/>
          <w:bCs/>
          <w:color w:val="222222"/>
          <w:sz w:val="34"/>
          <w:szCs w:val="34"/>
          <w:rFonts w:ascii="Arial" w:cs="Arial" w:eastAsia="Arial" w:hAnsi="Arial"/>
        </w:rPr>
        <w:t xml:space="preserve">7.1 Tipos de cruces detectados</w:t>
      </w:r>
    </w:p>
    <w:p>
      <w:pPr>
        <w:pStyle w:val="ListParagraph"/>
        <w:numPr>
          <w:ilvl w:val="0"/>
          <w:numId w:val="2"/>
        </w:numPr>
        <w:spacing w:after="100" w:line="276"/>
      </w:pPr>
      <w:r>
        <w:rPr>
          <w:sz w:val="22"/>
          <w:szCs w:val="22"/>
          <w:rFonts w:ascii="Arial" w:cs="Arial" w:eastAsia="Arial" w:hAnsi="Arial"/>
        </w:rPr>
        <w:t xml:space="preserve">Cliente-Proveedor: la contraparte factura y a la vez recibe pagos como proveedor.</w:t>
      </w:r>
    </w:p>
    <w:p>
      <w:pPr>
        <w:pStyle w:val="ListParagraph"/>
        <w:numPr>
          <w:ilvl w:val="0"/>
          <w:numId w:val="2"/>
        </w:numPr>
        <w:spacing w:after="100" w:line="276"/>
      </w:pPr>
      <w:r>
        <w:rPr>
          <w:sz w:val="22"/>
          <w:szCs w:val="22"/>
          <w:rFonts w:ascii="Arial" w:cs="Arial" w:eastAsia="Arial" w:hAnsi="Arial"/>
        </w:rPr>
        <w:t xml:space="preserve">Proveedor-Empleado: un proveedor coincide con un empleado de la empresa.</w:t>
      </w:r>
    </w:p>
    <w:p>
      <w:pPr>
        <w:pStyle w:val="ListParagraph"/>
        <w:numPr>
          <w:ilvl w:val="0"/>
          <w:numId w:val="2"/>
        </w:numPr>
        <w:spacing w:after="100" w:line="276"/>
      </w:pPr>
      <w:r>
        <w:rPr>
          <w:sz w:val="22"/>
          <w:szCs w:val="22"/>
          <w:rFonts w:ascii="Arial" w:cs="Arial" w:eastAsia="Arial" w:hAnsi="Arial"/>
        </w:rPr>
        <w:t xml:space="preserve">Cliente-Empleado: un cliente coincide con un empleado de la empresa.</w:t>
      </w:r>
    </w:p>
    <w:p>
      <w:pPr>
        <w:pStyle w:val="ListParagraph"/>
        <w:numPr>
          <w:ilvl w:val="0"/>
          <w:numId w:val="2"/>
        </w:numPr>
        <w:spacing w:after="100" w:line="276"/>
      </w:pPr>
      <w:r>
        <w:rPr>
          <w:sz w:val="22"/>
          <w:szCs w:val="22"/>
          <w:rFonts w:ascii="Arial" w:cs="Arial" w:eastAsia="Arial" w:hAnsi="Arial"/>
        </w:rPr>
        <w:t xml:space="preserve">Triple cruce: la contraparte aparece simultáneamente como cliente, proveedor y empleado.</w:t>
      </w:r>
    </w:p>
    <w:p>
      <w:pPr>
        <w:pStyle w:val="Heading2"/>
        <w:spacing w:before="300" w:after="100"/>
      </w:pPr>
      <w:r>
        <w:rPr>
          <w:b/>
          <w:bCs/>
          <w:color w:val="222222"/>
          <w:sz w:val="34"/>
          <w:szCs w:val="34"/>
          <w:rFonts w:ascii="Arial" w:cs="Arial" w:eastAsia="Arial" w:hAnsi="Arial"/>
        </w:rPr>
        <w:t xml:space="preserve">7.2 Campos principales del JSON de cruces</w:t>
      </w:r>
    </w:p>
    <w:p>
      <w:pPr>
        <w:pStyle w:val="ListParagraph"/>
        <w:numPr>
          <w:ilvl w:val="0"/>
          <w:numId w:val="2"/>
        </w:numPr>
        <w:spacing w:after="100" w:line="276"/>
      </w:pPr>
      <w:r>
        <w:rPr>
          <w:sz w:val="22"/>
          <w:szCs w:val="22"/>
          <w:rFonts w:ascii="Arial" w:cs="Arial" w:eastAsia="Arial" w:hAnsi="Arial"/>
        </w:rPr>
        <w:t xml:space="preserve">kpis, total_transacciones, distribucion_riesgo: totales y distribución bajo/medio/alto sobre el universo analizado.</w:t>
      </w:r>
    </w:p>
    <w:p>
      <w:pPr>
        <w:pStyle w:val="ListParagraph"/>
        <w:numPr>
          <w:ilvl w:val="0"/>
          <w:numId w:val="2"/>
        </w:numPr>
        <w:spacing w:after="100" w:line="276"/>
      </w:pPr>
      <w:r>
        <w:rPr>
          <w:sz w:val="22"/>
          <w:szCs w:val="22"/>
          <w:rFonts w:ascii="Arial" w:cs="Arial" w:eastAsia="Arial" w:hAnsi="Arial"/>
        </w:rPr>
        <w:t xml:space="preserve">tipos_cruces, distribucion_categorias, top_empresas: conteos por tipo de cruce y por categoría de contraparte.</w:t>
      </w:r>
    </w:p>
    <w:p>
      <w:pPr>
        <w:pStyle w:val="ListParagraph"/>
        <w:numPr>
          <w:ilvl w:val="0"/>
          <w:numId w:val="2"/>
        </w:numPr>
        <w:spacing w:after="100" w:line="276"/>
      </w:pPr>
      <w:r>
        <w:rPr>
          <w:sz w:val="22"/>
          <w:szCs w:val="22"/>
          <w:rFonts w:ascii="Arial" w:cs="Arial" w:eastAsia="Arial" w:hAnsi="Arial"/>
        </w:rPr>
        <w:t xml:space="preserve">tabla_detalles (alias entidades_cruces): detalle por contraparte con roles, montos, transacciones, fechas, medios de pago y factores de riesgo.</w:t>
      </w:r>
    </w:p>
    <w:p>
      <w:pPr>
        <w:pStyle w:val="ListParagraph"/>
        <w:numPr>
          <w:ilvl w:val="0"/>
          <w:numId w:val="2"/>
        </w:numPr>
        <w:spacing w:after="100" w:line="276"/>
      </w:pPr>
      <w:r>
        <w:rPr>
          <w:sz w:val="22"/>
          <w:szCs w:val="22"/>
          <w:rFonts w:ascii="Arial" w:cs="Arial" w:eastAsia="Arial" w:hAnsi="Arial"/>
        </w:rPr>
        <w:t xml:space="preserve">estadisticas_formularios, faltantes_dd, transacciones_sin_dd, entidades_sin_dd: estado de la debida diligencia por contraparte según la vigencia configurada (sección 4).</w:t>
      </w:r>
    </w:p>
    <w:p>
      <w:pPr>
        <w:pStyle w:val="ListParagraph"/>
        <w:numPr>
          <w:ilvl w:val="0"/>
          <w:numId w:val="2"/>
        </w:numPr>
        <w:spacing w:after="100" w:line="276"/>
      </w:pPr>
      <w:r>
        <w:rPr>
          <w:sz w:val="22"/>
          <w:szCs w:val="22"/>
          <w:rFonts w:ascii="Arial" w:cs="Arial" w:eastAsia="Arial" w:hAnsi="Arial"/>
        </w:rPr>
        <w:t xml:space="preserve">charts: datos ya preparados para graficar la distribución de multi-vínculos en la interfaz del aplicativo PHP.</w:t>
      </w:r>
    </w:p>
    <w:p>
      <w:pPr>
        <w:spacing w:after="160" w:line="276"/>
      </w:pPr>
      <w:r>
        <w:rPr>
          <w:b/>
          <w:bCs/>
          <w:i/>
          <w:iCs/>
          <w:color w:val="555555"/>
          <w:sz w:val="22"/>
          <w:szCs w:val="22"/>
          <w:rFonts w:ascii="Arial" w:cs="Arial" w:eastAsia="Arial" w:hAnsi="Arial"/>
        </w:rPr>
        <w:t xml:space="preserve">Nota: </w:t>
      </w:r>
      <w:r>
        <w:rPr>
          <w:i/>
          <w:iCs/>
          <w:color w:val="555555"/>
          <w:sz w:val="22"/>
          <w:szCs w:val="22"/>
          <w:rFonts w:ascii="Arial" w:cs="Arial" w:eastAsia="Arial" w:hAnsi="Arial"/>
        </w:rPr>
        <w:t xml:space="preserve">Para no sobrecargar la respuesta, el JSON puede venir compactado (menos detalle por transacción) salvo que se solicite explícitamente el detalle completo, como ocurre internamente al generar el PDF.</w:t>
      </w:r>
    </w:p>
    <w:p>
      <w:pPr>
        <w:pStyle w:val="Heading1"/>
        <w:spacing w:before="400" w:after="120"/>
      </w:pPr>
      <w:r>
        <w:rPr>
          <w:b/>
          <w:bCs/>
          <w:color w:val="00838F"/>
          <w:sz w:val="46"/>
          <w:szCs w:val="46"/>
          <w:rFonts w:ascii="Arial" w:cs="Arial" w:eastAsia="Arial" w:hAnsi="Arial"/>
        </w:rPr>
        <w:t xml:space="preserve">8. Segmentación por sector y ubicación — estructura de la respuesta JSON</w:t>
      </w:r>
    </w:p>
    <w:p>
      <w:pPr>
        <w:spacing w:after="160" w:line="276"/>
      </w:pPr>
      <w:r>
        <w:rPr>
          <w:sz w:val="22"/>
          <w:szCs w:val="22"/>
          <w:rFonts w:ascii="Arial" w:cs="Arial" w:eastAsia="Arial" w:hAnsi="Arial"/>
        </w:rPr>
        <w:t xml:space="preserve">Los endpoints de la sección 3.3 clasifican el riesgo de las transacciones de clientes y proveedores según jurisdicción, categoría de riesgo país, sector económico (CIIU) y ubicación geográfica.</w:t>
      </w:r>
    </w:p>
    <w:p>
      <w:pPr>
        <w:pStyle w:val="Heading2"/>
        <w:spacing w:before="300" w:after="100"/>
      </w:pPr>
      <w:r>
        <w:rPr>
          <w:b/>
          <w:bCs/>
          <w:color w:val="222222"/>
          <w:sz w:val="34"/>
          <w:szCs w:val="34"/>
          <w:rFonts w:ascii="Arial" w:cs="Arial" w:eastAsia="Arial" w:hAnsi="Arial"/>
        </w:rPr>
        <w:t xml:space="preserve">8.1 Indicadores clave (KPI)</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600"/>
        <w:gridCol w:w="6425"/>
      </w:tblGrid>
      <w:tr>
        <w:tc>
          <w:tcPr>
            <w:tcW w:type="dxa" w:w="26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Indicador</w:t>
            </w:r>
          </w:p>
        </w:tc>
        <w:tc>
          <w:tcPr>
            <w:tcW w:type="dxa" w:w="6425"/>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Qué significa</w:t>
            </w:r>
          </w:p>
        </w:tc>
      </w:tr>
      <w:tr>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Total de transacciones</w:t>
            </w:r>
          </w:p>
        </w:tc>
        <w:tc>
          <w:tcPr>
            <w:tcW w:type="dxa" w:w="64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Cantidad total de movimientos de clientes y proveedores incluidos en el análisis.</w:t>
            </w:r>
          </w:p>
        </w:tc>
      </w:tr>
      <w:tr>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Empresas involucradas</w:t>
            </w:r>
          </w:p>
        </w:tc>
        <w:tc>
          <w:tcPr>
            <w:tcW w:type="dxa" w:w="64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Número de contrapartes distintas identificadas en las transacciones analizadas.</w:t>
            </w:r>
          </w:p>
        </w:tc>
      </w:tr>
      <w:tr>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Monto total</w:t>
            </w:r>
          </w:p>
        </w:tc>
        <w:tc>
          <w:tcPr>
            <w:tcW w:type="dxa" w:w="64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Suma del valor de todas las transacciones analizadas.</w:t>
            </w:r>
          </w:p>
        </w:tc>
      </w:tr>
      <w:tr>
        <w:tc>
          <w:tcPr>
            <w:tcW w:type="dxa" w:w="2600"/>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Alto riesgo</w:t>
            </w:r>
          </w:p>
        </w:tc>
        <w:tc>
          <w:tcPr>
            <w:tcW w:type="dxa" w:w="6425"/>
            <w:tcBorders>
              <w:top w:val="single" w:color="D9D9D9" w:sz="4"/>
              <w:left w:val="single" w:color="D9D9D9" w:sz="4"/>
              <w:bottom w:val="single" w:color="D9D9D9" w:sz="4"/>
              <w:right w:val="single" w:color="D9D9D9" w:sz="4"/>
            </w:tcBorders>
            <w:shd w:fill="FFFFFF" w:val="clear"/>
            <w:tcMar>
              <w:top w:type="dxa" w:w="100"/>
              <w:left w:type="dxa" w:w="120"/>
              <w:bottom w:type="dxa" w:w="100"/>
              <w:right w:type="dxa" w:w="120"/>
            </w:tcMar>
          </w:tcPr>
          <w:p>
            <w:r>
              <w:rPr>
                <w:b w:val="false"/>
                <w:bCs w:val="false"/>
                <w:sz w:val="20"/>
                <w:szCs w:val="20"/>
                <w:rFonts w:ascii="Arial" w:cs="Arial" w:eastAsia="Arial" w:hAnsi="Arial"/>
              </w:rPr>
              <w:t xml:space="preserve">Cantidad de transacciones clasificadas en categoría de riesgo alto (jurisdicción, CIIU o categoría no cooperante).</w:t>
            </w:r>
          </w:p>
        </w:tc>
      </w:tr>
    </w:tbl>
    <w:p/>
    <w:p>
      <w:pPr>
        <w:pStyle w:val="Heading2"/>
        <w:spacing w:before="300" w:after="100"/>
      </w:pPr>
      <w:r>
        <w:rPr>
          <w:b/>
          <w:bCs/>
          <w:color w:val="222222"/>
          <w:sz w:val="34"/>
          <w:szCs w:val="34"/>
          <w:rFonts w:ascii="Arial" w:cs="Arial" w:eastAsia="Arial" w:hAnsi="Arial"/>
        </w:rPr>
        <w:t xml:space="preserve">8.2 Distribución de riesgo</w:t>
      </w:r>
    </w:p>
    <w:p>
      <w:pPr>
        <w:spacing w:after="160" w:line="276"/>
      </w:pPr>
      <w:r>
        <w:rPr>
          <w:sz w:val="22"/>
          <w:szCs w:val="22"/>
          <w:rFonts w:ascii="Arial" w:cs="Arial" w:eastAsia="Arial" w:hAnsi="Arial"/>
        </w:rPr>
        <w:t xml:space="preserve">Resume qué proporción de las transacciones y contrapartes analizadas se ubica en cada nivel de riesgo:</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5"/>
      </w:tblGrid>
      <w:tr>
        <w:tc>
          <w:tcPr>
            <w:tcW w:type="dxa" w:w="18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Nivel</w:t>
            </w:r>
          </w:p>
        </w:tc>
        <w:tc>
          <w:tcPr>
            <w:tcW w:type="dxa" w:w="1800"/>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Rango de riesgo</w:t>
            </w:r>
          </w:p>
        </w:tc>
        <w:tc>
          <w:tcPr>
            <w:tcW w:type="dxa" w:w="5425"/>
            <w:tcBorders>
              <w:top w:val="single" w:color="D9D9D9" w:sz="4"/>
              <w:left w:val="single" w:color="D9D9D9" w:sz="4"/>
              <w:bottom w:val="single" w:color="D9D9D9" w:sz="4"/>
              <w:right w:val="single" w:color="D9D9D9" w:sz="4"/>
            </w:tcBorders>
            <w:shd w:fill="00838F" w:val="clear"/>
            <w:tcMar>
              <w:top w:type="dxa" w:w="100"/>
              <w:left w:type="dxa" w:w="120"/>
              <w:bottom w:type="dxa" w:w="100"/>
              <w:right w:type="dxa" w:w="120"/>
            </w:tcMar>
          </w:tcPr>
          <w:p>
            <w:r>
              <w:rPr>
                <w:b/>
                <w:bCs/>
                <w:color w:val="FFFFFF"/>
                <w:sz w:val="20"/>
                <w:szCs w:val="20"/>
                <w:rFonts w:ascii="Arial" w:cs="Arial" w:eastAsia="Arial" w:hAnsi="Arial"/>
              </w:rPr>
              <w:t xml:space="preserve">Descripción</w:t>
            </w:r>
          </w:p>
        </w:tc>
      </w:tr>
      <w:tr>
        <w:tc>
          <w:tcPr>
            <w:tcW w:type="dxa" w:w="1800"/>
            <w:tcBorders>
              <w:top w:val="single" w:color="D9D9D9" w:sz="4"/>
              <w:left w:val="single" w:color="D9D9D9" w:sz="4"/>
              <w:bottom w:val="single" w:color="D9D9D9" w:sz="4"/>
              <w:right w:val="single" w:color="D9D9D9" w:sz="4"/>
            </w:tcBorders>
            <w:shd w:fill="E5F5EC" w:val="clear"/>
            <w:tcMar>
              <w:top w:type="dxa" w:w="100"/>
              <w:left w:type="dxa" w:w="120"/>
              <w:bottom w:type="dxa" w:w="100"/>
              <w:right w:type="dxa" w:w="120"/>
            </w:tcMar>
          </w:tcPr>
          <w:p>
            <w:r>
              <w:rPr>
                <w:b/>
                <w:bCs/>
                <w:color w:val="1E7E4B"/>
                <w:sz w:val="20"/>
                <w:szCs w:val="20"/>
                <w:rFonts w:ascii="Arial" w:cs="Arial" w:eastAsia="Arial" w:hAnsi="Arial"/>
              </w:rPr>
              <w:t xml:space="preserve">Bajo</w:t>
            </w:r>
          </w:p>
        </w:tc>
        <w:tc>
          <w:tcPr>
            <w:tcW w:type="dxa" w:w="1800"/>
            <w:tcBorders>
              <w:top w:val="single" w:color="D9D9D9" w:sz="4"/>
              <w:left w:val="single" w:color="D9D9D9" w:sz="4"/>
              <w:bottom w:val="single" w:color="D9D9D9" w:sz="4"/>
              <w:right w:val="single" w:color="D9D9D9" w:sz="4"/>
            </w:tcBorders>
            <w:shd w:fill="E5F5EC" w:val="clear"/>
            <w:tcMar>
              <w:top w:type="dxa" w:w="100"/>
              <w:left w:type="dxa" w:w="120"/>
              <w:bottom w:type="dxa" w:w="100"/>
              <w:right w:type="dxa" w:w="120"/>
            </w:tcMar>
          </w:tcPr>
          <w:p>
            <w:r>
              <w:rPr>
                <w:b w:val="false"/>
                <w:bCs w:val="false"/>
                <w:color w:val="222222"/>
                <w:sz w:val="20"/>
                <w:szCs w:val="20"/>
                <w:rFonts w:ascii="Arial" w:cs="Arial" w:eastAsia="Arial" w:hAnsi="Arial"/>
              </w:rPr>
              <w:t xml:space="preserve">Distribución de riesgo predominante = Bajo</w:t>
            </w:r>
          </w:p>
        </w:tc>
        <w:tc>
          <w:tcPr>
            <w:tcW w:type="dxa" w:w="5425"/>
            <w:tcBorders>
              <w:top w:val="single" w:color="D9D9D9" w:sz="4"/>
              <w:left w:val="single" w:color="D9D9D9" w:sz="4"/>
              <w:bottom w:val="single" w:color="D9D9D9" w:sz="4"/>
              <w:right w:val="single" w:color="D9D9D9" w:sz="4"/>
            </w:tcBorders>
            <w:shd w:fill="E5F5EC" w:val="clear"/>
            <w:tcMar>
              <w:top w:type="dxa" w:w="100"/>
              <w:left w:type="dxa" w:w="120"/>
              <w:bottom w:type="dxa" w:w="100"/>
              <w:right w:type="dxa" w:w="120"/>
            </w:tcMar>
          </w:tcPr>
          <w:p>
            <w:r>
              <w:rPr>
                <w:b w:val="false"/>
                <w:bCs w:val="false"/>
                <w:color w:val="222222"/>
                <w:sz w:val="20"/>
                <w:szCs w:val="20"/>
                <w:rFonts w:ascii="Arial" w:cs="Arial" w:eastAsia="Arial" w:hAnsi="Arial"/>
              </w:rPr>
              <w:t xml:space="preserve">La mayoría de las transacciones y contrapartes analizadas se clasifican en categorías, jurisdicciones y CIIU de riesgo bajo.</w:t>
            </w:r>
          </w:p>
        </w:tc>
      </w:tr>
      <w:tr>
        <w:tc>
          <w:tcPr>
            <w:tcW w:type="dxa" w:w="1800"/>
            <w:tcBorders>
              <w:top w:val="single" w:color="D9D9D9" w:sz="4"/>
              <w:left w:val="single" w:color="D9D9D9" w:sz="4"/>
              <w:bottom w:val="single" w:color="D9D9D9" w:sz="4"/>
              <w:right w:val="single" w:color="D9D9D9" w:sz="4"/>
            </w:tcBorders>
            <w:shd w:fill="E0F5F7" w:val="clear"/>
            <w:tcMar>
              <w:top w:type="dxa" w:w="100"/>
              <w:left w:type="dxa" w:w="120"/>
              <w:bottom w:type="dxa" w:w="100"/>
              <w:right w:type="dxa" w:w="120"/>
            </w:tcMar>
          </w:tcPr>
          <w:p>
            <w:r>
              <w:rPr>
                <w:b/>
                <w:bCs/>
                <w:color w:val="00838F"/>
                <w:sz w:val="20"/>
                <w:szCs w:val="20"/>
                <w:rFonts w:ascii="Arial" w:cs="Arial" w:eastAsia="Arial" w:hAnsi="Arial"/>
              </w:rPr>
              <w:t xml:space="preserve">Medio</w:t>
            </w:r>
          </w:p>
        </w:tc>
        <w:tc>
          <w:tcPr>
            <w:tcW w:type="dxa" w:w="1800"/>
            <w:tcBorders>
              <w:top w:val="single" w:color="D9D9D9" w:sz="4"/>
              <w:left w:val="single" w:color="D9D9D9" w:sz="4"/>
              <w:bottom w:val="single" w:color="D9D9D9" w:sz="4"/>
              <w:right w:val="single" w:color="D9D9D9" w:sz="4"/>
            </w:tcBorders>
            <w:shd w:fill="E0F5F7" w:val="clear"/>
            <w:tcMar>
              <w:top w:type="dxa" w:w="100"/>
              <w:left w:type="dxa" w:w="120"/>
              <w:bottom w:type="dxa" w:w="100"/>
              <w:right w:type="dxa" w:w="120"/>
            </w:tcMar>
          </w:tcPr>
          <w:p>
            <w:r>
              <w:rPr>
                <w:b w:val="false"/>
                <w:bCs w:val="false"/>
                <w:color w:val="222222"/>
                <w:sz w:val="20"/>
                <w:szCs w:val="20"/>
                <w:rFonts w:ascii="Arial" w:cs="Arial" w:eastAsia="Arial" w:hAnsi="Arial"/>
              </w:rPr>
              <w:t xml:space="preserve">Distribución de riesgo predominante = Medio</w:t>
            </w:r>
          </w:p>
        </w:tc>
        <w:tc>
          <w:tcPr>
            <w:tcW w:type="dxa" w:w="5425"/>
            <w:tcBorders>
              <w:top w:val="single" w:color="D9D9D9" w:sz="4"/>
              <w:left w:val="single" w:color="D9D9D9" w:sz="4"/>
              <w:bottom w:val="single" w:color="D9D9D9" w:sz="4"/>
              <w:right w:val="single" w:color="D9D9D9" w:sz="4"/>
            </w:tcBorders>
            <w:shd w:fill="E0F5F7" w:val="clear"/>
            <w:tcMar>
              <w:top w:type="dxa" w:w="100"/>
              <w:left w:type="dxa" w:w="120"/>
              <w:bottom w:type="dxa" w:w="100"/>
              <w:right w:type="dxa" w:w="120"/>
            </w:tcMar>
          </w:tcPr>
          <w:p>
            <w:r>
              <w:rPr>
                <w:b w:val="false"/>
                <w:bCs w:val="false"/>
                <w:color w:val="222222"/>
                <w:sz w:val="20"/>
                <w:szCs w:val="20"/>
                <w:rFonts w:ascii="Arial" w:cs="Arial" w:eastAsia="Arial" w:hAnsi="Arial"/>
              </w:rPr>
              <w:t xml:space="preserve">Existe un volumen relevante de transacciones o contrapartes en jurisdicciones, sectores o categorías de riesgo medio que ameritan seguimiento.</w:t>
            </w:r>
          </w:p>
        </w:tc>
      </w:tr>
      <w:tr>
        <w:tc>
          <w:tcPr>
            <w:tcW w:type="dxa" w:w="1800"/>
            <w:tcBorders>
              <w:top w:val="single" w:color="D9D9D9" w:sz="4"/>
              <w:left w:val="single" w:color="D9D9D9" w:sz="4"/>
              <w:bottom w:val="single" w:color="D9D9D9" w:sz="4"/>
              <w:right w:val="single" w:color="D9D9D9" w:sz="4"/>
            </w:tcBorders>
            <w:shd w:fill="FCE4EC" w:val="clear"/>
            <w:tcMar>
              <w:top w:type="dxa" w:w="100"/>
              <w:left w:type="dxa" w:w="120"/>
              <w:bottom w:type="dxa" w:w="100"/>
              <w:right w:type="dxa" w:w="120"/>
            </w:tcMar>
          </w:tcPr>
          <w:p>
            <w:r>
              <w:rPr>
                <w:b/>
                <w:bCs/>
                <w:color w:val="B0224A"/>
                <w:sz w:val="20"/>
                <w:szCs w:val="20"/>
                <w:rFonts w:ascii="Arial" w:cs="Arial" w:eastAsia="Arial" w:hAnsi="Arial"/>
              </w:rPr>
              <w:t xml:space="preserve">Alto</w:t>
            </w:r>
          </w:p>
        </w:tc>
        <w:tc>
          <w:tcPr>
            <w:tcW w:type="dxa" w:w="1800"/>
            <w:tcBorders>
              <w:top w:val="single" w:color="D9D9D9" w:sz="4"/>
              <w:left w:val="single" w:color="D9D9D9" w:sz="4"/>
              <w:bottom w:val="single" w:color="D9D9D9" w:sz="4"/>
              <w:right w:val="single" w:color="D9D9D9" w:sz="4"/>
            </w:tcBorders>
            <w:shd w:fill="FCE4EC" w:val="clear"/>
            <w:tcMar>
              <w:top w:type="dxa" w:w="100"/>
              <w:left w:type="dxa" w:w="120"/>
              <w:bottom w:type="dxa" w:w="100"/>
              <w:right w:type="dxa" w:w="120"/>
            </w:tcMar>
          </w:tcPr>
          <w:p>
            <w:r>
              <w:rPr>
                <w:b w:val="false"/>
                <w:bCs w:val="false"/>
                <w:color w:val="222222"/>
                <w:sz w:val="20"/>
                <w:szCs w:val="20"/>
                <w:rFonts w:ascii="Arial" w:cs="Arial" w:eastAsia="Arial" w:hAnsi="Arial"/>
              </w:rPr>
              <w:t xml:space="preserve">Distribución de riesgo predominante = Alto</w:t>
            </w:r>
          </w:p>
        </w:tc>
        <w:tc>
          <w:tcPr>
            <w:tcW w:type="dxa" w:w="5425"/>
            <w:tcBorders>
              <w:top w:val="single" w:color="D9D9D9" w:sz="4"/>
              <w:left w:val="single" w:color="D9D9D9" w:sz="4"/>
              <w:bottom w:val="single" w:color="D9D9D9" w:sz="4"/>
              <w:right w:val="single" w:color="D9D9D9" w:sz="4"/>
            </w:tcBorders>
            <w:shd w:fill="FCE4EC" w:val="clear"/>
            <w:tcMar>
              <w:top w:type="dxa" w:w="100"/>
              <w:left w:type="dxa" w:w="120"/>
              <w:bottom w:type="dxa" w:w="100"/>
              <w:right w:type="dxa" w:w="120"/>
            </w:tcMar>
          </w:tcPr>
          <w:p>
            <w:r>
              <w:rPr>
                <w:b w:val="false"/>
                <w:bCs w:val="false"/>
                <w:color w:val="222222"/>
                <w:sz w:val="20"/>
                <w:szCs w:val="20"/>
                <w:rFonts w:ascii="Arial" w:cs="Arial" w:eastAsia="Arial" w:hAnsi="Arial"/>
              </w:rPr>
              <w:t xml:space="preserve">Se detectan contrapartes, países o CIIU de riesgo alto (incluye jurisdicciones NO COOPERANTE ante el GAFI); requiere revisión prioritaria.</w:t>
            </w:r>
          </w:p>
        </w:tc>
      </w:tr>
    </w:tbl>
    <w:p/>
    <w:p>
      <w:pPr>
        <w:pStyle w:val="Heading2"/>
        <w:spacing w:before="300" w:after="100"/>
      </w:pPr>
      <w:r>
        <w:rPr>
          <w:b/>
          <w:bCs/>
          <w:color w:val="222222"/>
          <w:sz w:val="34"/>
          <w:szCs w:val="34"/>
          <w:rFonts w:ascii="Arial" w:cs="Arial" w:eastAsia="Arial" w:hAnsi="Arial"/>
        </w:rPr>
        <w:t xml:space="preserve">8.3 Mapa de riesgo de Colombia e imágenes</w:t>
      </w:r>
    </w:p>
    <w:p>
      <w:pPr>
        <w:spacing w:after="160" w:line="276"/>
      </w:pPr>
      <w:r>
        <w:rPr>
          <w:sz w:val="22"/>
          <w:szCs w:val="22"/>
          <w:rFonts w:ascii="Arial" w:cs="Arial" w:eastAsia="Arial" w:hAnsi="Arial"/>
        </w:rPr>
        <w:t xml:space="preserve">El campo mapa_colombia ubica geográficamente las transacciones de riesgo medio y alto por departamento, con el monto y el número de transacciones asociadas a cada punto. Los endpoints chart-image y colombia-map (sección 3.3) devuelven la representación gráfica ya renderizada en base64, lista para insertar directamente en una etiqueta &lt;img&gt; del aplicativo PHP.</w:t>
      </w:r>
    </w:p>
    <w:p>
      <w:pPr>
        <w:pStyle w:val="Heading2"/>
        <w:spacing w:before="300" w:after="100"/>
      </w:pPr>
      <w:r>
        <w:rPr>
          <w:b/>
          <w:bCs/>
          <w:color w:val="222222"/>
          <w:sz w:val="34"/>
          <w:szCs w:val="34"/>
          <w:rFonts w:ascii="Arial" w:cs="Arial" w:eastAsia="Arial" w:hAnsi="Arial"/>
        </w:rPr>
        <w:t xml:space="preserve">8.4 Estado GAFI de las jurisdicciones</w:t>
      </w:r>
    </w:p>
    <w:p>
      <w:pPr>
        <w:spacing w:after="160" w:line="276"/>
      </w:pPr>
      <w:r>
        <w:rPr>
          <w:sz w:val="22"/>
          <w:szCs w:val="22"/>
          <w:rFonts w:ascii="Arial" w:cs="Arial" w:eastAsia="Arial" w:hAnsi="Arial"/>
        </w:rPr>
        <w:t xml:space="preserve">El campo fatf_status indica, para cada país presente en las transacciones, si se encuentra clasificado como cooperante o no cooperante ante el GAFI (Grupo de Acción Financiera Internacional), como criterio adicional para priorizar la revisión de contrapartes.</w:t>
      </w:r>
    </w:p>
    <w:p>
      <w:pPr>
        <w:pStyle w:val="Heading1"/>
        <w:spacing w:before="400" w:after="120"/>
      </w:pPr>
      <w:r>
        <w:rPr>
          <w:b/>
          <w:bCs/>
          <w:color w:val="00838F"/>
          <w:sz w:val="46"/>
          <w:szCs w:val="46"/>
          <w:rFonts w:ascii="Arial" w:cs="Arial" w:eastAsia="Arial" w:hAnsi="Arial"/>
        </w:rPr>
        <w:t xml:space="preserve">9. Caché, actualización de datos e informes oficiales vs. filtrados</w:t>
      </w:r>
    </w:p>
    <w:p>
      <w:pPr>
        <w:spacing w:after="160" w:line="276"/>
      </w:pPr>
      <w:r>
        <w:rPr>
          <w:sz w:val="22"/>
          <w:szCs w:val="22"/>
          <w:rFonts w:ascii="Arial" w:cs="Arial" w:eastAsia="Arial" w:hAnsi="Arial"/>
        </w:rPr>
        <w:t xml:space="preserve">Para no recalcular sobre grandes volúmenes de datos en cada petición, el microservicio guarda el último resultado de cruces y segmentación por empresa (en base de datos o almacenamiento en la nube según el tamaño).</w:t>
      </w:r>
    </w:p>
    <w:p>
      <w:pPr>
        <w:pStyle w:val="ListParagraph"/>
        <w:numPr>
          <w:ilvl w:val="0"/>
          <w:numId w:val="2"/>
        </w:numPr>
        <w:spacing w:after="100" w:line="276"/>
      </w:pPr>
      <w:r>
        <w:rPr>
          <w:sz w:val="22"/>
          <w:szCs w:val="22"/>
          <w:rFonts w:ascii="Arial" w:cs="Arial" w:eastAsia="Arial" w:hAnsi="Arial"/>
        </w:rPr>
        <w:t xml:space="preserve">Sin refresh_data / refresh: el microservicio devuelve el último resultado calculado para esa empresa, si existe.</w:t>
      </w:r>
    </w:p>
    <w:p>
      <w:pPr>
        <w:pStyle w:val="ListParagraph"/>
        <w:numPr>
          <w:ilvl w:val="0"/>
          <w:numId w:val="2"/>
        </w:numPr>
        <w:spacing w:after="100" w:line="276"/>
      </w:pPr>
      <w:r>
        <w:rPr>
          <w:sz w:val="22"/>
          <w:szCs w:val="22"/>
          <w:rFonts w:ascii="Arial" w:cs="Arial" w:eastAsia="Arial" w:hAnsi="Arial"/>
        </w:rPr>
        <w:t xml:space="preserve">Con refresh_data=true (o refresh=true): se ignora el resultado guardado y se recalcula todo desde la base de datos de origen.</w:t>
      </w:r>
    </w:p>
    <w:p>
      <w:pPr>
        <w:pStyle w:val="ListParagraph"/>
        <w:numPr>
          <w:ilvl w:val="0"/>
          <w:numId w:val="2"/>
        </w:numPr>
        <w:spacing w:after="100" w:line="276"/>
      </w:pPr>
      <w:r>
        <w:rPr>
          <w:sz w:val="22"/>
          <w:szCs w:val="22"/>
          <w:rFonts w:ascii="Arial" w:cs="Arial" w:eastAsia="Arial" w:hAnsi="Arial"/>
        </w:rPr>
        <w:t xml:space="preserve">Informe sin filtros (Universo General): al generarse, reemplaza el informe oficial anterior de la empresa y queda registrado en su historial.</w:t>
      </w:r>
    </w:p>
    <w:p>
      <w:pPr>
        <w:pStyle w:val="ListParagraph"/>
        <w:numPr>
          <w:ilvl w:val="0"/>
          <w:numId w:val="2"/>
        </w:numPr>
        <w:spacing w:after="100" w:line="276"/>
      </w:pPr>
      <w:r>
        <w:rPr>
          <w:sz w:val="22"/>
          <w:szCs w:val="22"/>
          <w:rFonts w:ascii="Arial" w:cs="Arial" w:eastAsia="Arial" w:hAnsi="Arial"/>
        </w:rPr>
        <w:t xml:space="preserve">Informe con filtros (filtros_pdf con al menos un valor): se genera como versión de consulta independiente y no reemplaza ni afecta el historial oficial de la empresa.</w:t>
      </w:r>
    </w:p>
    <w:p>
      <w:pPr>
        <w:spacing w:after="160" w:line="276"/>
      </w:pPr>
      <w:r>
        <w:rPr>
          <w:b/>
          <w:bCs/>
          <w:i/>
          <w:iCs/>
          <w:color w:val="555555"/>
          <w:sz w:val="22"/>
          <w:szCs w:val="22"/>
          <w:rFonts w:ascii="Arial" w:cs="Arial" w:eastAsia="Arial" w:hAnsi="Arial"/>
        </w:rPr>
        <w:t xml:space="preserve">Nota: </w:t>
      </w:r>
      <w:r>
        <w:rPr>
          <w:i/>
          <w:iCs/>
          <w:color w:val="555555"/>
          <w:sz w:val="22"/>
          <w:szCs w:val="22"/>
          <w:rFonts w:ascii="Arial" w:cs="Arial" w:eastAsia="Arial" w:hAnsi="Arial"/>
        </w:rPr>
        <w:t xml:space="preserve">El aplicativo PHP debe decidir cuándo pedir refresh_data=true (por ejemplo, después de cargar nueva información transaccional) en lugar de solicitarlo en cada llamada, para no perder el beneficio de la caché.</w:t>
      </w:r>
    </w:p>
    <w:p>
      <w:pPr>
        <w:pStyle w:val="Heading1"/>
        <w:spacing w:before="400" w:after="120"/>
      </w:pPr>
      <w:r>
        <w:rPr>
          <w:b/>
          <w:bCs/>
          <w:color w:val="00838F"/>
          <w:sz w:val="46"/>
          <w:szCs w:val="46"/>
          <w:rFonts w:ascii="Arial" w:cs="Arial" w:eastAsia="Arial" w:hAnsi="Arial"/>
        </w:rPr>
        <w:t xml:space="preserve">10. Seguridad y consideraciones de integración</w:t>
      </w:r>
    </w:p>
    <w:p>
      <w:pPr>
        <w:pStyle w:val="ListParagraph"/>
        <w:numPr>
          <w:ilvl w:val="0"/>
          <w:numId w:val="2"/>
        </w:numPr>
        <w:spacing w:after="100" w:line="276"/>
      </w:pPr>
      <w:r>
        <w:rPr>
          <w:sz w:val="22"/>
          <w:szCs w:val="22"/>
          <w:rFonts w:ascii="Arial" w:cs="Arial" w:eastAsia="Arial" w:hAnsi="Arial"/>
        </w:rPr>
        <w:t xml:space="preserve">Todas las respuestas relevantes (informes, cruces, segmentación) están asociadas a un empresa_id; el microservicio no filtra por usuario, por lo que el control de qué usuario puede ver qué empresa es responsabilidad del aplicativo PHP.</w:t>
      </w:r>
    </w:p>
    <w:p>
      <w:pPr>
        <w:pStyle w:val="ListParagraph"/>
        <w:numPr>
          <w:ilvl w:val="0"/>
          <w:numId w:val="2"/>
        </w:numPr>
        <w:spacing w:after="100" w:line="276"/>
      </w:pPr>
      <w:r>
        <w:rPr>
          <w:sz w:val="22"/>
          <w:szCs w:val="22"/>
          <w:rFonts w:ascii="Arial" w:cs="Arial" w:eastAsia="Arial" w:hAnsi="Arial"/>
        </w:rPr>
        <w:t xml:space="preserve">El token JWT debe viajar siempre en la cabecera Authorization: Bearer &lt;token&gt;; el microservicio no acepta sesiones ni cookies.</w:t>
      </w:r>
    </w:p>
    <w:p>
      <w:pPr>
        <w:pStyle w:val="ListParagraph"/>
        <w:numPr>
          <w:ilvl w:val="0"/>
          <w:numId w:val="2"/>
        </w:numPr>
        <w:spacing w:after="100" w:line="276"/>
      </w:pPr>
      <w:r>
        <w:rPr>
          <w:sz w:val="22"/>
          <w:szCs w:val="22"/>
          <w:rFonts w:ascii="Arial" w:cs="Arial" w:eastAsia="Arial" w:hAnsi="Arial"/>
        </w:rPr>
        <w:t xml:space="preserve">El endpoint /cruces/process-batch no valida el token JWT en la versión actual; debe protegerse a nivel de red (por ejemplo, restringiéndolo a la red interna del clúster) y no exponerse públicamente.</w:t>
      </w:r>
    </w:p>
    <w:p>
      <w:pPr>
        <w:pStyle w:val="ListParagraph"/>
        <w:numPr>
          <w:ilvl w:val="0"/>
          <w:numId w:val="2"/>
        </w:numPr>
        <w:spacing w:after="100" w:line="276"/>
      </w:pPr>
      <w:r>
        <w:rPr>
          <w:sz w:val="22"/>
          <w:szCs w:val="22"/>
          <w:rFonts w:ascii="Arial" w:cs="Arial" w:eastAsia="Arial" w:hAnsi="Arial"/>
        </w:rPr>
        <w:t xml:space="preserve">El CORS del microservicio está abierto; el aplicativo PHP debe evitar exponer estos endpoints directamente al navegador del usuario final y, en su lugar, hacer las llamadas desde su propio backend.</w:t>
      </w:r>
    </w:p>
    <w:p>
      <w:pPr>
        <w:pStyle w:val="ListParagraph"/>
        <w:numPr>
          <w:ilvl w:val="0"/>
          <w:numId w:val="2"/>
        </w:numPr>
        <w:spacing w:after="100" w:line="276"/>
      </w:pPr>
      <w:r>
        <w:rPr>
          <w:sz w:val="22"/>
          <w:szCs w:val="22"/>
          <w:rFonts w:ascii="Arial" w:cs="Arial" w:eastAsia="Arial" w:hAnsi="Arial"/>
        </w:rPr>
        <w:t xml:space="preserve">Los informes PDF y las imágenes se almacenan en almacenamiento en la nube (S3); el aplicativo PHP recibe la ruta/URL para descargarlos o mostrarlos, no el archivo completo en cada respuesta cuando se trata de reportes ya persistidos.</w:t>
      </w:r>
    </w:p>
    <w:p>
      <w:pPr>
        <w:pStyle w:val="Heading1"/>
        <w:spacing w:before="400" w:after="120"/>
      </w:pPr>
      <w:r>
        <w:rPr>
          <w:b/>
          <w:bCs/>
          <w:color w:val="00838F"/>
          <w:sz w:val="46"/>
          <w:szCs w:val="46"/>
          <w:rFonts w:ascii="Arial" w:cs="Arial" w:eastAsia="Arial" w:hAnsi="Arial"/>
        </w:rPr>
        <w:t xml:space="preserve">11. Preguntas frecuentes</w:t>
      </w:r>
    </w:p>
    <w:p>
      <w:pPr>
        <w:pStyle w:val="Heading2"/>
        <w:spacing w:before="300" w:after="100"/>
      </w:pPr>
      <w:r>
        <w:rPr>
          <w:b/>
          <w:bCs/>
          <w:color w:val="222222"/>
          <w:sz w:val="34"/>
          <w:szCs w:val="34"/>
          <w:rFonts w:ascii="Arial" w:cs="Arial" w:eastAsia="Arial" w:hAnsi="Arial"/>
        </w:rPr>
        <w:t xml:space="preserve">¿Por qué debo llamar primero a /auth/token?</w:t>
      </w:r>
    </w:p>
    <w:p>
      <w:pPr>
        <w:spacing w:after="160" w:line="276"/>
      </w:pPr>
      <w:r>
        <w:rPr>
          <w:sz w:val="22"/>
          <w:szCs w:val="22"/>
          <w:rFonts w:ascii="Arial" w:cs="Arial" w:eastAsia="Arial" w:hAnsi="Arial"/>
        </w:rPr>
        <w:t xml:space="preserve">Porque todos los demás endpoints exigen la cabecera Authorization: Bearer &lt;token&gt;; sin un token vigente, el microservicio responde con un error de autenticación.</w:t>
      </w:r>
    </w:p>
    <w:p>
      <w:pPr>
        <w:pStyle w:val="Heading2"/>
        <w:spacing w:before="300" w:after="100"/>
      </w:pPr>
      <w:r>
        <w:rPr>
          <w:b/>
          <w:bCs/>
          <w:color w:val="222222"/>
          <w:sz w:val="34"/>
          <w:szCs w:val="34"/>
          <w:rFonts w:ascii="Arial" w:cs="Arial" w:eastAsia="Arial" w:hAnsi="Arial"/>
        </w:rPr>
        <w:t xml:space="preserve">Llamé dos veces seguidas a generar el informe y obtuve el mismo resultado. ¿Es un error?</w:t>
      </w:r>
    </w:p>
    <w:p>
      <w:pPr>
        <w:spacing w:after="160" w:line="276"/>
      </w:pPr>
      <w:r>
        <w:rPr>
          <w:sz w:val="22"/>
          <w:szCs w:val="22"/>
          <w:rFonts w:ascii="Arial" w:cs="Arial" w:eastAsia="Arial" w:hAnsi="Arial"/>
        </w:rPr>
        <w:t xml:space="preserve">No. El microservicio reutiliza el último resultado calculado para esa empresa y esos filtros (sección 9). Envíe refresh_data=true si necesita forzar un nuevo cálculo.</w:t>
      </w:r>
    </w:p>
    <w:p>
      <w:pPr>
        <w:pStyle w:val="Heading2"/>
        <w:spacing w:before="300" w:after="100"/>
      </w:pPr>
      <w:r>
        <w:rPr>
          <w:b/>
          <w:bCs/>
          <w:color w:val="222222"/>
          <w:sz w:val="34"/>
          <w:szCs w:val="34"/>
          <w:rFonts w:ascii="Arial" w:cs="Arial" w:eastAsia="Arial" w:hAnsi="Arial"/>
        </w:rPr>
        <w:t xml:space="preserve">Generé un informe con filtros. ¿Por qué no aparece en el historial oficial de la empresa?</w:t>
      </w:r>
    </w:p>
    <w:p>
      <w:pPr>
        <w:spacing w:after="160" w:line="276"/>
      </w:pPr>
      <w:r>
        <w:rPr>
          <w:sz w:val="22"/>
          <w:szCs w:val="22"/>
          <w:rFonts w:ascii="Arial" w:cs="Arial" w:eastAsia="Arial" w:hAnsi="Arial"/>
        </w:rPr>
        <w:t xml:space="preserve">Porque solo los informes generados sin filtros (Universo General) se registran como informe oficial de la empresa. Los informes con filtros se guardan como versiones de consulta independientes (sección 9).</w:t>
      </w:r>
    </w:p>
    <w:p>
      <w:pPr>
        <w:pStyle w:val="Heading2"/>
        <w:spacing w:before="300" w:after="100"/>
      </w:pPr>
      <w:r>
        <w:rPr>
          <w:b/>
          <w:bCs/>
          <w:color w:val="222222"/>
          <w:sz w:val="34"/>
          <w:szCs w:val="34"/>
          <w:rFonts w:ascii="Arial" w:cs="Arial" w:eastAsia="Arial" w:hAnsi="Arial"/>
        </w:rPr>
        <w:t xml:space="preserve">Indiqué email_to pero el usuario final no recibió el correo.</w:t>
      </w:r>
    </w:p>
    <w:p>
      <w:pPr>
        <w:spacing w:after="160" w:line="276"/>
      </w:pPr>
      <w:r>
        <w:rPr>
          <w:sz w:val="22"/>
          <w:szCs w:val="22"/>
          <w:rFonts w:ascii="Arial" w:cs="Arial" w:eastAsia="Arial" w:hAnsi="Arial"/>
        </w:rPr>
        <w:t xml:space="preserve">Verifique que el aplicativo PHP esté enviando el campo email_to con una dirección válida en el cuerpo de /reports/pdf/request, y que la configuración de envío de correo del microservicio esté vigente. Si el problema persiste, contacte a soporte (sección 12).</w:t>
      </w:r>
    </w:p>
    <w:p>
      <w:pPr>
        <w:pStyle w:val="Heading2"/>
        <w:spacing w:before="300" w:after="100"/>
      </w:pPr>
      <w:r>
        <w:rPr>
          <w:b/>
          <w:bCs/>
          <w:color w:val="222222"/>
          <w:sz w:val="34"/>
          <w:szCs w:val="34"/>
          <w:rFonts w:ascii="Arial" w:cs="Arial" w:eastAsia="Arial" w:hAnsi="Arial"/>
        </w:rPr>
        <w:t xml:space="preserve">¿El microservicio expone alguna pantalla para el usuario final?</w:t>
      </w:r>
    </w:p>
    <w:p>
      <w:pPr>
        <w:spacing w:after="160" w:line="276"/>
      </w:pPr>
      <w:r>
        <w:rPr>
          <w:sz w:val="22"/>
          <w:szCs w:val="22"/>
          <w:rFonts w:ascii="Arial" w:cs="Arial" w:eastAsia="Arial" w:hAnsi="Arial"/>
        </w:rPr>
        <w:t xml:space="preserve">No. El microservicio es puramente backend; toda la interfaz (menús, botones, pantallas) la construye y presenta la plataforma Riesgos365 en PHP, consumiendo los endpoints descritos en la sección 3.</w:t>
      </w:r>
    </w:p>
    <w:p>
      <w:pPr>
        <w:pStyle w:val="Heading2"/>
        <w:spacing w:before="300" w:after="100"/>
      </w:pPr>
      <w:r>
        <w:rPr>
          <w:b/>
          <w:bCs/>
          <w:color w:val="222222"/>
          <w:sz w:val="34"/>
          <w:szCs w:val="34"/>
          <w:rFonts w:ascii="Arial" w:cs="Arial" w:eastAsia="Arial" w:hAnsi="Arial"/>
        </w:rPr>
        <w:t xml:space="preserve">¿Qué significa que una contraparte tenga "triple cruce"?</w:t>
      </w:r>
    </w:p>
    <w:p>
      <w:pPr>
        <w:spacing w:after="160" w:line="276"/>
      </w:pPr>
      <w:r>
        <w:rPr>
          <w:sz w:val="22"/>
          <w:szCs w:val="22"/>
          <w:rFonts w:ascii="Arial" w:cs="Arial" w:eastAsia="Arial" w:hAnsi="Arial"/>
        </w:rPr>
        <w:t xml:space="preserve">Significa que el mismo documento de identificación aparece registrado, para la misma empresa, como cliente, proveedor y empleado a la vez. Es el nivel de cruce con mayor prioridad de revisión.</w:t>
      </w:r>
    </w:p>
    <w:p>
      <w:pPr>
        <w:pStyle w:val="Heading2"/>
        <w:spacing w:before="300" w:after="100"/>
      </w:pPr>
      <w:r>
        <w:rPr>
          <w:b/>
          <w:bCs/>
          <w:color w:val="222222"/>
          <w:sz w:val="34"/>
          <w:szCs w:val="34"/>
          <w:rFonts w:ascii="Arial" w:cs="Arial" w:eastAsia="Arial" w:hAnsi="Arial"/>
        </w:rPr>
        <w:t xml:space="preserve">Cambié validez_dd y el resultado cambió. ¿Es un error?</w:t>
      </w:r>
    </w:p>
    <w:p>
      <w:pPr>
        <w:spacing w:after="160" w:line="276"/>
      </w:pPr>
      <w:r>
        <w:rPr>
          <w:sz w:val="22"/>
          <w:szCs w:val="22"/>
          <w:rFonts w:ascii="Arial" w:cs="Arial" w:eastAsia="Arial" w:hAnsi="Arial"/>
        </w:rPr>
        <w:t xml:space="preserve">No. La vigencia de 1 o 2 años determina si un formulario de debida diligencia antiguo todavía se considera válido; al cambiarla, algunas contrapartes pueden pasar de "con DD" a "sin DD vigente" o viceversa.</w:t>
      </w:r>
    </w:p>
    <w:p>
      <w:pPr>
        <w:pStyle w:val="Heading1"/>
        <w:spacing w:before="400" w:after="120"/>
      </w:pPr>
      <w:r>
        <w:rPr>
          <w:b/>
          <w:bCs/>
          <w:color w:val="00838F"/>
          <w:sz w:val="46"/>
          <w:szCs w:val="46"/>
          <w:rFonts w:ascii="Arial" w:cs="Arial" w:eastAsia="Arial" w:hAnsi="Arial"/>
        </w:rPr>
        <w:t xml:space="preserve">12. Soporte</w:t>
      </w:r>
    </w:p>
    <w:p>
      <w:pPr>
        <w:spacing w:after="160" w:line="276"/>
      </w:pPr>
      <w:r>
        <w:rPr>
          <w:sz w:val="22"/>
          <w:szCs w:val="22"/>
          <w:rFonts w:ascii="Arial" w:cs="Arial" w:eastAsia="Arial" w:hAnsi="Arial"/>
        </w:rPr>
        <w:t xml:space="preserve">Ante cualquier duda o inconveniente con el microservicio de Segmentación y Cruces de Contrapartes, el equipo de desarrollo del aplicativo PHP debe contactar al equipo de soporte técnico de Riesgos365 a través de los canales habituales de atención.</w:t>
      </w:r>
    </w:p>
    <w:sectPr>
      <w:pgSz w:w="11909" w:h="16834"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Microservicio de Segmentación y Cruces de Contrapartes</dc:title>
  <dc:creator>Riesgos365</dc:creator>
  <cp:lastModifiedBy>Un-named</cp:lastModifiedBy>
  <cp:revision>1</cp:revision>
  <dcterms:created xsi:type="dcterms:W3CDTF">2026-09-23T04:12:40.090Z</dcterms:created>
  <dcterms:modified xsi:type="dcterms:W3CDTF">2026-09-23T04:12:40.105Z</dcterms:modified>
</cp:coreProperties>
</file>

<file path=docProps/custom.xml><?xml version="1.0" encoding="utf-8"?>
<Properties xmlns="http://schemas.openxmlformats.org/officeDocument/2006/custom-properties" xmlns:vt="http://schemas.openxmlformats.org/officeDocument/2006/docPropsVTypes"/>
</file>