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Calibri" w:cs="Calibri" w:eastAsia="Calibri" w:hAnsi="Calibri"/>
          <w:b/>
          <w:bCs/>
          <w:color w:val="1C2B4A"/>
          <w:sz w:val="48"/>
          <w:szCs w:val="48"/>
        </w:rPr>
        <w:t xml:space="preserve">Milestone 2 Report</w:t>
      </w:r>
    </w:p>
    <w:p>
      <w:pPr>
        <w:spacing w:after="80" w:before="0"/>
        <w:jc w:val="center"/>
      </w:pPr>
      <w:r>
        <w:rPr>
          <w:rFonts w:ascii="Calibri" w:cs="Calibri" w:eastAsia="Calibri" w:hAnsi="Calibri"/>
          <w:b/>
          <w:bCs/>
          <w:sz w:val="28"/>
          <w:szCs w:val="28"/>
        </w:rPr>
        <w:t xml:space="preserve">Ethical and Societal Concerns of Artificial Intelligence</w:t>
      </w:r>
    </w:p>
    <w:p>
      <w:pPr>
        <w:spacing w:after="80" w:before="0"/>
        <w:jc w:val="center"/>
      </w:pPr>
      <w:r>
        <w:rPr>
          <w:rFonts w:ascii="Calibri" w:cs="Calibri" w:eastAsia="Calibri" w:hAnsi="Calibri"/>
          <w:i/>
          <w:iCs/>
          <w:sz w:val="24"/>
          <w:szCs w:val="24"/>
        </w:rPr>
        <w:t xml:space="preserve">Related to Privacy, Surveillance, Data Misuse, Deepfakes and Consent</w:t>
      </w:r>
    </w:p>
    <w:p>
      <w:pPr>
        <w:spacing w:after="80" w:before="80"/>
      </w:pPr>
      <w:r>
        <w:t xml:space="preserve"/>
      </w:r>
    </w:p>
    <w:p>
      <w:pPr>
        <w:jc w:val="center"/>
      </w:pPr>
      <w:r>
        <w:rPr>
          <w:rFonts w:ascii="Calibri" w:cs="Calibri" w:eastAsia="Calibri" w:hAnsi="Calibri"/>
          <w:color w:val="555555"/>
          <w:sz w:val="22"/>
          <w:szCs w:val="22"/>
        </w:rPr>
        <w:t xml:space="preserve">Bennett University — The Times Group</w:t>
      </w:r>
    </w:p>
    <w:p>
      <w:pPr>
        <w:spacing w:after="40" w:before="40"/>
        <w:jc w:val="center"/>
      </w:pPr>
      <w:r>
        <w:rPr>
          <w:rFonts w:ascii="Calibri" w:cs="Calibri" w:eastAsia="Calibri" w:hAnsi="Calibri"/>
          <w:color w:val="555555"/>
          <w:sz w:val="22"/>
          <w:szCs w:val="22"/>
        </w:rPr>
        <w:t xml:space="preserve">Team ID: S3- | Supervisor: Dr. Susmita Das</w:t>
      </w:r>
    </w:p>
    <w:p>
      <w:pPr>
        <w:spacing w:after="40" w:before="40"/>
        <w:jc w:val="center"/>
      </w:pPr>
      <w:r>
        <w:rPr>
          <w:rFonts w:ascii="Calibri" w:cs="Calibri" w:eastAsia="Calibri" w:hAnsi="Calibri"/>
          <w:color w:val="555555"/>
          <w:sz w:val="22"/>
          <w:szCs w:val="22"/>
        </w:rPr>
        <w:t xml:space="preserve">Team: Archit Pant (E23CSEU2212) | Aryan Mavi (E23CSEU2193) | Kabir Basoya (E23CSEU2177) | Rishi (E23CSEU2277)</w:t>
      </w:r>
    </w:p>
    <w:p>
      <w:r>
        <w:br w:type="page"/>
      </w:r>
    </w:p>
    <w:p>
      <w:pPr>
        <w:pStyle w:val="Heading1"/>
      </w:pPr>
      <w:r>
        <w:rPr>
          <w:b/>
          <w:bCs/>
        </w:rPr>
        <w:t xml:space="preserve">1. Implementation &amp; Technical Execution</w:t>
      </w:r>
    </w:p>
    <w:p>
      <w:pPr>
        <w:pStyle w:val="Heading2"/>
      </w:pPr>
      <w:r>
        <w:rPr>
          <w:b/>
          <w:bCs/>
        </w:rPr>
        <w:t xml:space="preserve">1.1 Overview of Analytical Framework</w:t>
      </w:r>
    </w:p>
    <w:p>
      <w:pPr>
        <w:spacing w:after="80" w:before="80"/>
      </w:pPr>
      <w:r>
        <w:t xml:space="preserve">Our project does not rely on software-based machine learning experiments. Instead, the core work is structured around a systematic case-study analysis of real-world AI deployments and their associated ethical failures. This choice was deliberate — the harms caused by AI systems in the domains of privacy, surveillance, and deepfakes are best understood through documented evidence rather than isolated lab benchmarks.</w:t>
      </w:r>
    </w:p>
    <w:p>
      <w:pPr>
        <w:spacing w:after="80" w:before="80"/>
      </w:pPr>
      <w:r>
        <w:t xml:space="preserve">The analytical framework we developed moves through five stages: use-case selection, ethical concern mapping, stakeholder identification, impact assessment, and evaluation of existing safeguards. Each stage was completed using verified source material from policy bodies, academic research, and investigative journalism.</w:t>
      </w:r>
    </w:p>
    <w:p>
      <w:pPr>
        <w:pStyle w:val="Heading2"/>
      </w:pPr>
      <w:r>
        <w:rPr>
          <w:b/>
          <w:bCs/>
        </w:rPr>
        <w:t xml:space="preserve">1.2 Use-Case Analysis</w:t>
      </w:r>
    </w:p>
    <w:p>
      <w:pPr>
        <w:spacing w:after="80" w:before="80"/>
      </w:pPr>
      <w:r>
        <w:t xml:space="preserve">We selected four primary AI deployment categories as the subjects of our investigation:</w:t>
      </w:r>
    </w:p>
    <w:p>
      <w:pPr>
        <w:pStyle w:val="Heading3"/>
      </w:pPr>
      <w:r>
        <w:rPr>
          <w:b/>
          <w:bCs/>
        </w:rPr>
        <w:t xml:space="preserve">Use-Case 1: Facial Recognition Systems</w:t>
      </w:r>
    </w:p>
    <w:p>
      <w:pPr>
        <w:spacing w:after="80" w:before="80"/>
      </w:pPr>
      <w:r>
        <w:t xml:space="preserve">Facial recognition technology is actively used in public spaces across many countries, including India, China, the UK, and the US. Our investigation focused specifically on deployments by law enforcement and smart city infrastructure. We examined documented false-positive rates in systems such as NEC NeoFace and Clearview AI. Evidence collected from civil liberties reports and news investigations revealed that these systems carry significantly higher error rates for darker-skinned individuals — a finding consistent with the Gender Shades study by Joy Buolamwini.</w:t>
      </w:r>
    </w:p>
    <w:p>
      <w:pPr>
        <w:spacing w:after="80" w:before="80"/>
      </w:pPr>
      <w:r>
        <w:t xml:space="preserve">The key ethical concerns identified include deployment without public notice or legal consent, use of data scraped from social media without user permission, and disproportionate impact on minority communities.</w:t>
      </w:r>
    </w:p>
    <w:p>
      <w:pPr>
        <w:pStyle w:val="Heading3"/>
      </w:pPr>
      <w:r>
        <w:rPr>
          <w:b/>
          <w:bCs/>
        </w:rPr>
        <w:t xml:space="preserve">Use-Case 2: Social Media Data Algorithms</w:t>
      </w:r>
    </w:p>
    <w:p>
      <w:pPr>
        <w:spacing w:after="80" w:before="80"/>
      </w:pPr>
      <w:r>
        <w:t xml:space="preserve">Social media platforms collect data including location, engagement patterns, political preferences, and social connections. We analysed the documented practices of platforms like Meta, TikTok, and Twitter/X. Internal whistleblower disclosures — including Frances Haugen's testimony to the US Senate — confirmed that these companies were aware that their recommendation algorithms amplified emotionally provocative content, even when that content was factually false.</w:t>
      </w:r>
    </w:p>
    <w:p>
      <w:pPr>
        <w:spacing w:after="80" w:before="80"/>
      </w:pPr>
      <w:r>
        <w:t xml:space="preserve">Our analysis identified a cycle where user data is processed to predict future behaviour, the model is optimised for engagement, and this optimisation ends up prioritising polarising content. This structure undermines informed user choice and violates the principle of consent in a meaningful way.</w:t>
      </w:r>
    </w:p>
    <w:p>
      <w:pPr>
        <w:pStyle w:val="Heading3"/>
      </w:pPr>
      <w:r>
        <w:rPr>
          <w:b/>
          <w:bCs/>
        </w:rPr>
        <w:t xml:space="preserve">Use-Case 3: AI-Enabled Surveillance Infrastructure</w:t>
      </w:r>
    </w:p>
    <w:p>
      <w:pPr>
        <w:spacing w:after="80" w:before="80"/>
      </w:pPr>
      <w:r>
        <w:t xml:space="preserve">We examined China's Social Credit System as well as Smart City projects in Indian cities such as Hyderabad. These deployments use networked cameras, AI-driven behaviour recognition, and cross-database matching to monitor civilian activity continuously. While governments present this as a public safety tool, researchers and human rights groups have documented its use for suppressing dissent, tracking religious minorities, and enforcing political compliance.</w:t>
      </w:r>
    </w:p>
    <w:p>
      <w:pPr>
        <w:spacing w:after="80" w:before="80"/>
      </w:pPr>
      <w:r>
        <w:t xml:space="preserve">Technically, these systems combine computer vision with predictive models trained on behavioural data. The ethical issues centre around the absence of any opt-out mechanism and the irreversibility of data once collected.</w:t>
      </w:r>
    </w:p>
    <w:p>
      <w:pPr>
        <w:pStyle w:val="Heading3"/>
      </w:pPr>
      <w:r>
        <w:rPr>
          <w:b/>
          <w:bCs/>
        </w:rPr>
        <w:t xml:space="preserve">Use-Case 4: Generative AI and Deepfake Creation</w:t>
      </w:r>
    </w:p>
    <w:p>
      <w:pPr>
        <w:spacing w:after="80" w:before="80"/>
      </w:pPr>
      <w:r>
        <w:t xml:space="preserve">Deepfakes are produced by training neural networks — typically Generative Adversarial Networks (GANs) — on large image or video datasets of a target person. The model learns to synthesise new content that resembles the person with high visual fidelity. We reviewed documented cases including politically targeted deepfakes used in elections, non-consensual intimate deepfakes targeting women, and synthetic audio used for financial fraud.</w:t>
      </w:r>
    </w:p>
    <w:p>
      <w:pPr>
        <w:spacing w:after="80" w:before="80"/>
      </w:pPr>
      <w:r>
        <w:t xml:space="preserve">Technically, the barrier to entry for creating deepfakes has dropped sharply. Tools like DeepFaceLab and commercial AI platforms can produce convincing results with minimal hardware. This accessibility, combined with the absence of universal watermarking or detection requirements, makes the technology a serious ongoing risk.</w:t>
      </w:r>
    </w:p>
    <w:p>
      <w:pPr>
        <w:pStyle w:val="Heading2"/>
      </w:pPr>
      <w:r>
        <w:rPr>
          <w:b/>
          <w:bCs/>
        </w:rPr>
        <w:t xml:space="preserve">1.3 Research Sources and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Source Type</w:t>
            </w:r>
          </w:p>
        </w:tc>
        <w:tc>
          <w:tcPr>
            <w:tcW w:type="dxa" w:w="624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Examples 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Policy Reports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UNESCO AI Ethics Recommendation (2021), OECD AI Principles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Academic Papers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Buolamwini &amp; Gebru (2018), Zuboff (2019), Chesney &amp; Citron (2019)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Case Studies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Clearview AI legal filings, Frances Haugen whistleblower documents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Investigative Reports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MIT Technology Review, The Guardian, The Wire (India)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Legal Instruments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GDPR (EU), Personal Data Protection Bill (India), CCPA (California)</w:t>
            </w:r>
          </w:p>
        </w:tc>
      </w:tr>
    </w:tbl>
    <w:p>
      <w:pPr>
        <w:spacing w:after="80" w:before="80"/>
      </w:pPr>
      <w:r>
        <w:t xml:space="preserve"/>
      </w:r>
    </w:p>
    <w:p>
      <w:pPr>
        <w:pStyle w:val="Heading1"/>
      </w:pPr>
      <w:r>
        <w:rPr>
          <w:b/>
          <w:bCs/>
        </w:rPr>
        <w:t xml:space="preserve">2. Results &amp; Analysis</w:t>
      </w:r>
    </w:p>
    <w:p>
      <w:pPr>
        <w:pStyle w:val="Heading2"/>
      </w:pPr>
      <w:r>
        <w:rPr>
          <w:b/>
          <w:bCs/>
        </w:rPr>
        <w:t xml:space="preserve">2.1 Summary of Findings Across Use-Cases</w:t>
      </w:r>
    </w:p>
    <w:p>
      <w:pPr>
        <w:spacing w:after="80" w:before="80"/>
      </w:pPr>
      <w:r>
        <w:t xml:space="preserve">Across all four domains examined, we found consistent patterns of harm rooted in three core failures: the absence of meaningful consent mechanisms, the lack of transparency about how AI systems operate, and the inadequacy of regulatory oversight to match the pace of technological deployment.</w:t>
      </w:r>
    </w:p>
    <w:p>
      <w:pPr>
        <w:pStyle w:val="Heading3"/>
      </w:pPr>
      <w:r>
        <w:rPr>
          <w:b/>
          <w:bCs/>
        </w:rPr>
        <w:t xml:space="preserve">Finding 1 — Consent Is Largely Absent</w:t>
      </w:r>
    </w:p>
    <w:p>
      <w:pPr>
        <w:spacing w:after="80" w:before="80"/>
      </w:pPr>
      <w:r>
        <w:t xml:space="preserve">In every use-case studied, user consent was either absent, uninformed, or structurally ineffective. Facial recognition systems in public spaces operate without individual notification. Social media platforms present terms of service that are thousands of words long and written in legal language that ordinary users cannot be expected to understand or negotiate. Surveillance infrastructure operates at the institutional level, bypassing individual consent entirely. Deepfake creation uses training data — photographs, voice recordings, video clips — that were collected for entirely different purposes.</w:t>
      </w:r>
    </w:p>
    <w:p>
      <w:pPr>
        <w:spacing w:after="80" w:before="80"/>
      </w:pPr>
      <w:r>
        <w:t xml:space="preserve">This finding is significant because consent is not merely a legal formality. It is the mechanism through which individuals retain agency over their own identity and data. When consent is absent or structurally hollow, the entire ethical foundation of data-based AI systems is compromised.</w:t>
      </w:r>
    </w:p>
    <w:p>
      <w:pPr>
        <w:pStyle w:val="Heading3"/>
      </w:pPr>
      <w:r>
        <w:rPr>
          <w:b/>
          <w:bCs/>
        </w:rPr>
        <w:t xml:space="preserve">Finding 2 — Bias Is Systematic, Not Accidental</w:t>
      </w:r>
    </w:p>
    <w:p>
      <w:pPr>
        <w:spacing w:after="80" w:before="80"/>
      </w:pPr>
      <w:r>
        <w:t xml:space="preserve">The bias present in facial recognition and content moderation systems is not the result of careless programming. It is the result of training data that reflects historical inequalities. When a model is trained predominantly on images of lighter-skinned individuals, its accuracy on darker-skinned faces is statistically lower. This outcome is predictable — and therefore the failure to correct for it before deployment is an ethical choice, not merely a technical limitation.</w:t>
      </w:r>
    </w:p>
    <w:p>
      <w:pPr>
        <w:spacing w:after="80" w:before="80"/>
      </w:pPr>
      <w:r>
        <w:t xml:space="preserve">The same logic applies to content recommendation algorithms. When engagement is used as the primary training signal, and certain communities are historically more likely to engage with inflammatory content, the algorithm learns to amplify that content for those communities. The bias is absorbed from the data and then reproduced at scale.</w:t>
      </w:r>
    </w:p>
    <w:p>
      <w:pPr>
        <w:pStyle w:val="Heading3"/>
      </w:pPr>
      <w:r>
        <w:rPr>
          <w:b/>
          <w:bCs/>
        </w:rPr>
        <w:t xml:space="preserve">Finding 3 — Deepfakes Create Asymmetric Harm</w:t>
      </w:r>
    </w:p>
    <w:p>
      <w:pPr>
        <w:spacing w:after="80" w:before="80"/>
      </w:pPr>
      <w:r>
        <w:t xml:space="preserve">Our review of deepfake cases revealed a consistent pattern: the technology is disproportionately weaponised against women and marginalised groups. A 2023 report by Sensity AI found that over 96% of deepfake videos online were non-consensual intimate imagery targeting women. Political deepfakes, while also concerning, tend to attract more regulatory attention and media coverage despite causing comparably less individual harm than targeted personal attacks.</w:t>
      </w:r>
    </w:p>
    <w:p>
      <w:pPr>
        <w:spacing w:after="80" w:before="80"/>
      </w:pPr>
      <w:r>
        <w:t xml:space="preserve">The asymmetry of harm here is important. The person who creates a deepfake bears almost no technical risk, while the person depicted faces reputational damage, psychological trauma, and — in cases involving fake criminal evidence — legal risk.</w:t>
      </w:r>
    </w:p>
    <w:p>
      <w:pPr>
        <w:pStyle w:val="Heading3"/>
      </w:pPr>
      <w:r>
        <w:rPr>
          <w:b/>
          <w:bCs/>
        </w:rPr>
        <w:t xml:space="preserve">Finding 4 — Regulation Lags Significantly Behind Technology</w:t>
      </w:r>
    </w:p>
    <w:p>
      <w:pPr>
        <w:spacing w:after="80" w:before="80"/>
      </w:pPr>
      <w:r>
        <w:t xml:space="preserve">GDPR is the most comprehensive data protection regulation in the world, yet it was passed in 2016 based on a technological landscape that had not yet seen large-scale deepfakes or the current generation of foundation AI models. India's Personal Data Protection Bill has been revised multiple times and continues to face implementation challenges. The US has no unified federal privacy law. China has strong data localisation rules but uses AI surveillance as a state tool.</w:t>
      </w:r>
    </w:p>
    <w:p>
      <w:pPr>
        <w:spacing w:after="80" w:before="80"/>
      </w:pPr>
      <w:r>
        <w:t xml:space="preserve">This regulatory fragmentation means that companies can and do operate in jurisdictions with the weakest protections. It also means that emerging harms — such as AI-generated synthetic identity fraud — are addressed after the fact, once victims have already been harmed.</w:t>
      </w:r>
    </w:p>
    <w:p>
      <w:pPr>
        <w:pStyle w:val="Heading2"/>
      </w:pPr>
      <w:r>
        <w:rPr>
          <w:b/>
          <w:bCs/>
        </w:rPr>
        <w:t xml:space="preserve">2.2 Stakeholder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Stakeholder</w:t>
            </w:r>
          </w:p>
        </w:tc>
        <w:tc>
          <w:tcPr>
            <w:tcW w:type="dxa" w:w="624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Key Impact Identified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General Public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Loss of privacy, exposure to misinformation, reduced autonomy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Women &amp; Minorities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Disproportionate harm from biased AI and deepfake misuse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Government / Law Enforcement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Risk of misuse; also carries responsibility for oversight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Technology Companies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Incentive misalignment; profits tied to engagement over wellbeing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Regulatory Bodies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Structural lag; rules do not match pace of AI development</w:t>
            </w:r>
          </w:p>
        </w:tc>
      </w:tr>
    </w:tbl>
    <w:p>
      <w:pPr>
        <w:spacing w:after="80" w:before="80"/>
      </w:pPr>
      <w:r>
        <w:t xml:space="preserve"/>
      </w:r>
    </w:p>
    <w:p>
      <w:pPr>
        <w:pStyle w:val="Heading1"/>
      </w:pPr>
      <w:r>
        <w:rPr>
          <w:b/>
          <w:bCs/>
        </w:rPr>
        <w:t xml:space="preserve">3. Demonstration &amp; Explanation</w:t>
      </w:r>
    </w:p>
    <w:p>
      <w:pPr>
        <w:pStyle w:val="Heading2"/>
      </w:pPr>
      <w:r>
        <w:rPr>
          <w:b/>
          <w:bCs/>
        </w:rPr>
        <w:t xml:space="preserve">3.1 Case Study Walkthroughs</w:t>
      </w:r>
    </w:p>
    <w:p>
      <w:pPr>
        <w:spacing w:after="80" w:before="80"/>
      </w:pPr>
      <w:r>
        <w:t xml:space="preserve">To make the analysis concrete, we walk through three specific documented incidents in detail.</w:t>
      </w:r>
    </w:p>
    <w:p>
      <w:pPr>
        <w:pStyle w:val="Heading3"/>
      </w:pPr>
      <w:r>
        <w:rPr>
          <w:b/>
          <w:bCs/>
        </w:rPr>
        <w:t xml:space="preserve">Case A — Clearview AI and the Scraping Controversy</w:t>
      </w:r>
    </w:p>
    <w:p>
      <w:pPr>
        <w:spacing w:after="80" w:before="80"/>
      </w:pPr>
      <w:r>
        <w:t xml:space="preserve">Clearview AI built a facial recognition database by scraping over 30 billion photographs from social media platforms including Facebook, Instagram, and LinkedIn — without the permission of users or the platforms themselves. Law enforcement agencies in the US, Canada, and Australia used this database for criminal investigations.</w:t>
      </w:r>
    </w:p>
    <w:p>
      <w:pPr>
        <w:spacing w:after="80" w:before="80"/>
      </w:pPr>
      <w:r>
        <w:t xml:space="preserve">The ethical problem is layered. First, users never consented to having their images used for law enforcement matching. Second, the accuracy of the system — particularly for minority individuals — was never validated to a judicial standard. Third, several wrongful arrests resulted directly from false positive matches from the Clearview database. In 2021, Clearview was banned from selling its services to private companies in Canada following a joint investigation by federal and provincial privacy commissioners.</w:t>
      </w:r>
    </w:p>
    <w:p>
      <w:pPr>
        <w:spacing w:after="80" w:before="80"/>
      </w:pPr>
      <w:r>
        <w:t xml:space="preserve">This case illustrates that the harm from AI surveillance is not hypothetical. It is documented, legal, and ongoing.</w:t>
      </w:r>
    </w:p>
    <w:p>
      <w:pPr>
        <w:pStyle w:val="Heading3"/>
      </w:pPr>
      <w:r>
        <w:rPr>
          <w:b/>
          <w:bCs/>
        </w:rPr>
        <w:t xml:space="preserve">Case B — Deepfake Audio Used for CEO Fraud</w:t>
      </w:r>
    </w:p>
    <w:p>
      <w:pPr>
        <w:spacing w:after="80" w:before="80"/>
      </w:pPr>
      <w:r>
        <w:t xml:space="preserve">In 2019, the CEO of a UK-based energy company received a phone call from what he believed to be his parent company's chief executive, instructing him to wire EUR 220,000 to a Hungarian supplier immediately. The voice was generated using AI trained on audio recordings of the real executive. The transfer was made. The fraud was only discovered when a second call — requesting another transfer — was made shortly after.</w:t>
      </w:r>
    </w:p>
    <w:p>
      <w:pPr>
        <w:spacing w:after="80" w:before="80"/>
      </w:pPr>
      <w:r>
        <w:t xml:space="preserve">This case is significant because it demonstrates that deepfake harm extends beyond political manipulation and intimate imagery. It is a direct financial crime vector, and the technology required was already commercially available. It also shows that deepfakes can be deployed via audio alone, without requiring video manipulation.</w:t>
      </w:r>
    </w:p>
    <w:p>
      <w:pPr>
        <w:pStyle w:val="Heading3"/>
      </w:pPr>
      <w:r>
        <w:rPr>
          <w:b/>
          <w:bCs/>
        </w:rPr>
        <w:t xml:space="preserve">Case C — Facebook's Algorithmic Amplification (Haugen Disclosure)</w:t>
      </w:r>
    </w:p>
    <w:p>
      <w:pPr>
        <w:spacing w:after="80" w:before="80"/>
      </w:pPr>
      <w:r>
        <w:t xml:space="preserve">Former Facebook product manager Frances Haugen leaked thousands of internal documents to the US Congress and the press in late 2021. Among the disclosures were internal research findings showing that Facebook's own teams had identified that the recommendation algorithm amplified political outrage and divisive content because such content drove higher engagement.</w:t>
      </w:r>
    </w:p>
    <w:p>
      <w:pPr>
        <w:spacing w:after="80" w:before="80"/>
      </w:pPr>
      <w:r>
        <w:t xml:space="preserve">The company was aware that this effect contributed to real-world violence in countries including Myanmar, Ethiopia, and India — yet changes proposed by internal researchers were blocked or diluted because they would reduce engagement metrics. This is a textbook case of a system where profit incentives are structurally misaligned with ethical responsibility.</w:t>
      </w:r>
    </w:p>
    <w:p>
      <w:pPr>
        <w:pStyle w:val="Heading2"/>
      </w:pPr>
      <w:r>
        <w:rPr>
          <w:b/>
          <w:bCs/>
        </w:rPr>
        <w:t xml:space="preserve">3.2 Evaluation of Existing Safeguards</w:t>
      </w:r>
    </w:p>
    <w:p>
      <w:pPr>
        <w:spacing w:after="80" w:before="80"/>
      </w:pPr>
      <w:r>
        <w:t xml:space="preserve">We evaluated three categories of safeguard currently in place:</w:t>
      </w:r>
    </w:p>
    <w:p>
      <w:pPr>
        <w:pStyle w:val="ListParagraph"/>
        <w:numPr>
          <w:ilvl w:val="0"/>
          <w:numId w:val="2"/>
        </w:numPr>
        <w:spacing w:after="40" w:before="40"/>
      </w:pPr>
      <w:r>
        <w:t xml:space="preserve">Technical safeguards: Deepfake detection tools (e.g., Microsoft Video Authenticator), content watermarking proposals, differential privacy in data collection. These are improving but are not mandatory and can be bypassed.</w:t>
      </w:r>
    </w:p>
    <w:p>
      <w:pPr>
        <w:pStyle w:val="ListParagraph"/>
        <w:numPr>
          <w:ilvl w:val="0"/>
          <w:numId w:val="2"/>
        </w:numPr>
        <w:spacing w:after="40" w:before="40"/>
      </w:pPr>
      <w:r>
        <w:t xml:space="preserve">Legal safeguards: GDPR, CCPA, India's IT Act. These provide rights in principle but face enforcement challenges and jurisdictional gaps.</w:t>
      </w:r>
    </w:p>
    <w:p>
      <w:pPr>
        <w:pStyle w:val="ListParagraph"/>
        <w:numPr>
          <w:ilvl w:val="0"/>
          <w:numId w:val="2"/>
        </w:numPr>
        <w:spacing w:after="40" w:before="40"/>
      </w:pPr>
      <w:r>
        <w:t xml:space="preserve">Ethical guidelines: UNESCO, OECD, EU AI Act. These are important normative documents but lack binding enforcement mechanisms in most jurisdictions.</w:t>
      </w:r>
    </w:p>
    <w:p>
      <w:pPr>
        <w:spacing w:after="80" w:before="80"/>
      </w:pPr>
      <w:r>
        <w:t xml:space="preserve">Our overall finding is that no single category of safeguard is sufficient on its own. Effective protection requires coordination across technical, legal, and normative domains — something that does not currently exist at a global scale.</w:t>
      </w:r>
    </w:p>
    <w:p>
      <w:pPr>
        <w:pStyle w:val="Heading1"/>
      </w:pPr>
      <w:r>
        <w:rPr>
          <w:b/>
          <w:bCs/>
        </w:rPr>
        <w:t xml:space="preserve">4. Conclusion &amp; Societal Impact Discussion</w:t>
      </w:r>
    </w:p>
    <w:p>
      <w:pPr>
        <w:pStyle w:val="Heading2"/>
      </w:pPr>
      <w:r>
        <w:rPr>
          <w:b/>
          <w:bCs/>
        </w:rPr>
        <w:t xml:space="preserve">4.1 Core Conclusions</w:t>
      </w:r>
    </w:p>
    <w:p>
      <w:pPr>
        <w:spacing w:after="80" w:before="80"/>
      </w:pPr>
      <w:r>
        <w:t xml:space="preserve">This project set out to examine how AI systems create ethical risks across the domains of privacy, surveillance, data misuse, deepfakes, and consent. After reviewing documented cases, policy frameworks, and academic research, we can state the following conclusions with confidence.</w:t>
      </w:r>
    </w:p>
    <w:p>
      <w:pPr>
        <w:spacing w:after="80" w:before="80"/>
      </w:pPr>
      <w:r>
        <w:t xml:space="preserve">First, these harms are not edge cases or worst-case scenarios. They are occurring now, at scale, in systems that billions of people interact with daily. The facial recognition errors that lead to wrongful arrest, the algorithmic feeds that amplify misinformation, and the synthetic media that destroys reputations — these are active, ongoing phenomena, not theoretical risks.</w:t>
      </w:r>
    </w:p>
    <w:p>
      <w:pPr>
        <w:spacing w:after="80" w:before="80"/>
      </w:pPr>
      <w:r>
        <w:t xml:space="preserve">Second, the individuals most harmed by AI systems tend to be those with the least power to challenge or escape them. Minority communities face biased facial recognition. Women face non-consensual deepfakes. Populations in countries with weaker regulatory frameworks are exposed to commercial surveillance with fewer legal protections. This pattern of differential harm should be a central concern for AI governance.</w:t>
      </w:r>
    </w:p>
    <w:p>
      <w:pPr>
        <w:spacing w:after="80" w:before="80"/>
      </w:pPr>
      <w:r>
        <w:t xml:space="preserve">Third, the design choices made by technology companies — what data to collect, how to optimise systems, what safeguards to implement — are not purely technical decisions. They are ethical and political ones, and they currently occur with limited public accountability.</w:t>
      </w:r>
    </w:p>
    <w:p>
      <w:pPr>
        <w:pStyle w:val="Heading2"/>
      </w:pPr>
      <w:r>
        <w:rPr>
          <w:b/>
          <w:bCs/>
        </w:rPr>
        <w:t xml:space="preserve">4.2 Societal Impact</w:t>
      </w:r>
    </w:p>
    <w:p>
      <w:pPr>
        <w:spacing w:after="80" w:before="80"/>
      </w:pPr>
      <w:r>
        <w:t xml:space="preserve">The societal impact of unchecked AI deployment in these domains is cumulative and compounding. When people know they are being monitored, they change their behaviour — this is known as the chilling effect. When they cannot trust digital content, they lose the shared epistemic foundation needed for democratic decision-making. When their data is used without consent to train systems that then make decisions about them — in hiring, credit, policing — they are subjected to algorithmic governance without democratic input.</w:t>
      </w:r>
    </w:p>
    <w:p>
      <w:pPr>
        <w:spacing w:after="80" w:before="80"/>
      </w:pPr>
      <w:r>
        <w:t xml:space="preserve">Individually, each of these effects is significant. Together, they represent a structural shift in the relationship between citizens and institutions — mediated by AI systems that are owned by private companies, often deployed by governments, and regulated inadequately by laws written for an earlier era.</w:t>
      </w:r>
    </w:p>
    <w:p>
      <w:pPr>
        <w:pStyle w:val="Heading2"/>
      </w:pPr>
      <w:r>
        <w:rPr>
          <w:b/>
          <w:bCs/>
        </w:rPr>
        <w:t xml:space="preserve">4.3 Recommendations</w:t>
      </w:r>
    </w:p>
    <w:p>
      <w:pPr>
        <w:pStyle w:val="ListParagraph"/>
        <w:numPr>
          <w:ilvl w:val="0"/>
          <w:numId w:val="2"/>
        </w:numPr>
        <w:spacing w:after="40" w:before="40"/>
      </w:pPr>
      <w:r>
        <w:t xml:space="preserve">Mandatory algorithmic impact assessments before deployment of AI systems in public-facing roles</w:t>
      </w:r>
    </w:p>
    <w:p>
      <w:pPr>
        <w:pStyle w:val="ListParagraph"/>
        <w:numPr>
          <w:ilvl w:val="0"/>
          <w:numId w:val="2"/>
        </w:numPr>
        <w:spacing w:after="40" w:before="40"/>
      </w:pPr>
      <w:r>
        <w:t xml:space="preserve">Prohibition on the use of facial recognition in public spaces without explicit legislative authorisation</w:t>
      </w:r>
    </w:p>
    <w:p>
      <w:pPr>
        <w:pStyle w:val="ListParagraph"/>
        <w:numPr>
          <w:ilvl w:val="0"/>
          <w:numId w:val="2"/>
        </w:numPr>
        <w:spacing w:after="40" w:before="40"/>
      </w:pPr>
      <w:r>
        <w:t xml:space="preserve">Universal deepfake watermarking requirements for generative AI platforms</w:t>
      </w:r>
    </w:p>
    <w:p>
      <w:pPr>
        <w:pStyle w:val="ListParagraph"/>
        <w:numPr>
          <w:ilvl w:val="0"/>
          <w:numId w:val="2"/>
        </w:numPr>
        <w:spacing w:after="40" w:before="40"/>
      </w:pPr>
      <w:r>
        <w:t xml:space="preserve">Meaningful consent mechanisms that go beyond checkbox terms-of-service agreements</w:t>
      </w:r>
    </w:p>
    <w:p>
      <w:pPr>
        <w:pStyle w:val="ListParagraph"/>
        <w:numPr>
          <w:ilvl w:val="0"/>
          <w:numId w:val="2"/>
        </w:numPr>
        <w:spacing w:after="40" w:before="40"/>
      </w:pPr>
      <w:r>
        <w:t xml:space="preserve">Establishment of an independent AI oversight body in India with enforcement powers</w:t>
      </w:r>
    </w:p>
    <w:p>
      <w:pPr>
        <w:pStyle w:val="ListParagraph"/>
        <w:numPr>
          <w:ilvl w:val="0"/>
          <w:numId w:val="2"/>
        </w:numPr>
        <w:spacing w:after="40" w:before="40"/>
      </w:pPr>
      <w:r>
        <w:t xml:space="preserve">Investment in culturally and demographically diverse training datasets to reduce systemic bias</w:t>
      </w:r>
    </w:p>
    <w:p>
      <w:pPr>
        <w:pStyle w:val="Heading2"/>
      </w:pPr>
      <w:r>
        <w:rPr>
          <w:b/>
          <w:bCs/>
        </w:rPr>
        <w:t xml:space="preserve">4.4 Future Scope</w:t>
      </w:r>
    </w:p>
    <w:p>
      <w:pPr>
        <w:spacing w:after="80" w:before="80"/>
      </w:pPr>
      <w:r>
        <w:t xml:space="preserve">This project has focused on analysis of existing systems. Future work could extend this in several directions. First, technical experimentation with privacy-preserving machine learning techniques — such as federated learning and differential privacy — could move the project from analysis to solution-building. Second, a comparative legal analysis of AI governance frameworks across jurisdictions would provide a richer picture of what regulatory models are most effective. Third, primary research through surveys or interviews with affected communities would ground the analysis in lived experience rather than solely in documented cases.</w:t>
      </w:r>
    </w:p>
    <w:p>
      <w:r>
        <w:br w:type="page"/>
      </w:r>
    </w:p>
    <w:p>
      <w:pPr>
        <w:pStyle w:val="Heading1"/>
      </w:pPr>
      <w:r>
        <w:rPr>
          <w:b/>
          <w:bCs/>
        </w:rPr>
        <w:t xml:space="preserve">References</w:t>
      </w:r>
    </w:p>
    <w:p>
      <w:pPr>
        <w:spacing w:after="80" w:before="80"/>
      </w:pPr>
      <w:r>
        <w:t xml:space="preserve">Buolamwini, J., &amp; Gebru, T. (2018). Gender Shades: Intersectional accuracy disparities in commercial gender classification. Proceedings of Machine Learning Research.</w:t>
      </w:r>
    </w:p>
    <w:p>
      <w:pPr>
        <w:spacing w:after="80" w:before="80"/>
      </w:pPr>
      <w:r>
        <w:t xml:space="preserve">Chesney, R., &amp; Citron, D. (2019). Deepfakes and the new disinformation war. Foreign Affairs, 98(1), 147–155.</w:t>
      </w:r>
    </w:p>
    <w:p>
      <w:pPr>
        <w:spacing w:after="80" w:before="80"/>
      </w:pPr>
      <w:r>
        <w:t xml:space="preserve">Haugen, F. (2021). Testimony before the United States Senate Commerce Committee, October 2021.</w:t>
      </w:r>
    </w:p>
    <w:p>
      <w:pPr>
        <w:spacing w:after="80" w:before="80"/>
      </w:pPr>
      <w:r>
        <w:t xml:space="preserve">Sensity AI. (2023). The State of Deepfakes: Landscape, threats, and impact. Sensity Research Report.</w:t>
      </w:r>
    </w:p>
    <w:p>
      <w:pPr>
        <w:spacing w:after="80" w:before="80"/>
      </w:pPr>
      <w:r>
        <w:t xml:space="preserve">UNESCO. (2021). Recommendation on the Ethics of Artificial Intelligence. United Nations Educational, Scientific and Cultural Organization.</w:t>
      </w:r>
    </w:p>
    <w:p>
      <w:pPr>
        <w:spacing w:after="80" w:before="80"/>
      </w:pPr>
      <w:r>
        <w:t xml:space="preserve">OECD. (2019). Recommendation of the Council on Artificial Intelligence. OECD Legal Instruments.</w:t>
      </w:r>
    </w:p>
    <w:p>
      <w:pPr>
        <w:spacing w:after="80" w:before="80"/>
      </w:pPr>
      <w:r>
        <w:t xml:space="preserve">Zuboff, S. (2019). The Age of Surveillance Capitalism: The fight for a human future at the new frontier of power. PublicAffairs.</w:t>
      </w:r>
    </w:p>
    <w:p>
      <w:pPr>
        <w:spacing w:after="80" w:before="80"/>
      </w:pPr>
      <w:r>
        <w:t xml:space="preserve">Regulation (EU) 2016/679 of the European Parliament and of the Council (GDPR).</w:t>
      </w:r>
    </w:p>
    <w:p>
      <w:pPr>
        <w:spacing w:after="80" w:before="80"/>
      </w:pPr>
      <w:r>
        <w:t xml:space="preserve">Office of the Privacy Commissioner of Canada. (2021). Joint investigation of Clearview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C2B4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4D8A"/>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A5C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2026-04-24T07:36:26.812Z</dcterms:created>
  <dcterms:modified xsi:type="dcterms:W3CDTF">2026-04-24T07:36:26.813Z</dcterms:modified>
</cp:coreProperties>
</file>

<file path=docProps/custom.xml><?xml version="1.0" encoding="utf-8"?>
<Properties xmlns="http://schemas.openxmlformats.org/officeDocument/2006/custom-properties" xmlns:vt="http://schemas.openxmlformats.org/officeDocument/2006/docPropsVTypes"/>
</file>