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34E" w:rsidRDefault="00E9334E" w:rsidP="00E9334E">
      <w:r>
        <w:t>The main interventions are:</w:t>
      </w:r>
    </w:p>
    <w:p w:rsidR="00E9334E" w:rsidRDefault="00E9334E" w:rsidP="00E9334E">
      <w:r>
        <w:t>1. Flock thinning</w:t>
      </w:r>
      <w:r w:rsidR="00A746A4">
        <w:t xml:space="preserve"> -</w:t>
      </w:r>
      <w:r>
        <w:t xml:space="preserve"> </w:t>
      </w:r>
      <w:r w:rsidR="00A746A4">
        <w:t xml:space="preserve">Mechanical (% </w:t>
      </w:r>
      <w:r w:rsidR="00A746A4" w:rsidRPr="009510A3">
        <w:rPr>
          <w:color w:val="FF0000"/>
        </w:rPr>
        <w:t>check</w:t>
      </w:r>
      <w:r w:rsidR="00A746A4">
        <w:t xml:space="preserve"> online) or Manual (% check online) – Worker 1 </w:t>
      </w:r>
    </w:p>
    <w:p w:rsidR="0000202D" w:rsidRDefault="00E9334E" w:rsidP="00E9334E">
      <w:r>
        <w:t xml:space="preserve">2. Flock clearing </w:t>
      </w:r>
      <w:r w:rsidR="00A746A4">
        <w:t xml:space="preserve">– Catching &amp; loading in cages (Worker 1) </w:t>
      </w:r>
    </w:p>
    <w:p w:rsidR="009510A3" w:rsidRDefault="0000202D" w:rsidP="00E9334E">
      <w:r>
        <w:t xml:space="preserve">Worker </w:t>
      </w:r>
      <w:proofErr w:type="gramStart"/>
      <w:r>
        <w:t>1 :</w:t>
      </w:r>
      <w:proofErr w:type="gramEnd"/>
      <w:r>
        <w:t xml:space="preserve"> 10,000 chicken 6-8</w:t>
      </w:r>
      <w:r w:rsidR="00A746A4">
        <w:br/>
      </w:r>
      <w:r w:rsidR="009510A3">
        <w:t xml:space="preserve">30-40  animals per crate ~ 333 </w:t>
      </w:r>
      <w:proofErr w:type="spellStart"/>
      <w:r w:rsidR="009510A3">
        <w:t>Cretes</w:t>
      </w:r>
      <w:proofErr w:type="spellEnd"/>
    </w:p>
    <w:p w:rsidR="00E9334E" w:rsidRPr="0000202D" w:rsidRDefault="00A746A4" w:rsidP="00E9334E">
      <w:pPr>
        <w:rPr>
          <w:i/>
        </w:rPr>
      </w:pPr>
      <w:r>
        <w:br/>
      </w:r>
      <w:r w:rsidRPr="0000202D">
        <w:rPr>
          <w:i/>
        </w:rPr>
        <w:t xml:space="preserve">Inside farm – </w:t>
      </w:r>
      <w:proofErr w:type="spellStart"/>
      <w:r w:rsidRPr="0000202D">
        <w:rPr>
          <w:i/>
        </w:rPr>
        <w:t>equipements</w:t>
      </w:r>
      <w:proofErr w:type="spellEnd"/>
      <w:r w:rsidRPr="0000202D">
        <w:rPr>
          <w:i/>
        </w:rPr>
        <w:t xml:space="preserve"> and practices</w:t>
      </w:r>
    </w:p>
    <w:p w:rsidR="00A746A4" w:rsidRDefault="00A746A4" w:rsidP="00E9334E">
      <w:r w:rsidRPr="0000202D">
        <w:rPr>
          <w:b/>
        </w:rPr>
        <w:t>Arrival at slaughterhouse</w:t>
      </w:r>
      <w:r w:rsidRPr="0000202D">
        <w:rPr>
          <w:b/>
        </w:rPr>
        <w:br/>
      </w:r>
      <w:r w:rsidR="0000202D">
        <w:t xml:space="preserve">3.1 Chickens are unloaded: </w:t>
      </w:r>
      <w:r w:rsidR="009510A3">
        <w:t>Worker 2 (walk around the cages to check their health)</w:t>
      </w:r>
    </w:p>
    <w:p w:rsidR="00454F37" w:rsidRDefault="00454F37" w:rsidP="00454F37">
      <w:r>
        <w:t xml:space="preserve">3.2 Kept in the stable: </w:t>
      </w:r>
    </w:p>
    <w:p w:rsidR="009510A3" w:rsidRDefault="009510A3" w:rsidP="00E9334E">
      <w:proofErr w:type="gramStart"/>
      <w:r>
        <w:t>2</w:t>
      </w:r>
      <w:proofErr w:type="gramEnd"/>
      <w:r>
        <w:t xml:space="preserve"> Worker 2 will check 333 crates. </w:t>
      </w:r>
    </w:p>
    <w:p w:rsidR="00454F37" w:rsidRDefault="00454F37" w:rsidP="00E9334E">
      <w:r>
        <w:t>Truck driver cleans the container/Truck – high speed water – no mask</w:t>
      </w:r>
    </w:p>
    <w:p w:rsidR="0000202D" w:rsidRDefault="0000202D" w:rsidP="00E9334E">
      <w:r>
        <w:t>Cutting place (more people) than stable</w:t>
      </w:r>
    </w:p>
    <w:p w:rsidR="00E9334E" w:rsidRPr="00E9334E" w:rsidRDefault="00E9334E" w:rsidP="00E9334E">
      <w:r>
        <w:t>3. Slaughterhouse practices</w:t>
      </w:r>
      <w:r w:rsidR="00A746A4">
        <w:t xml:space="preserve"> - </w:t>
      </w:r>
    </w:p>
    <w:p w:rsidR="00E9334E" w:rsidRDefault="00E9334E" w:rsidP="00E9334E">
      <w:r>
        <w:t xml:space="preserve">No published papers </w:t>
      </w:r>
      <w:proofErr w:type="gramStart"/>
      <w:r>
        <w:t>were found</w:t>
      </w:r>
      <w:proofErr w:type="gramEnd"/>
      <w:r>
        <w:t xml:space="preserve"> on the microbial risk on E. coli and thinning in European settings. All papers found </w:t>
      </w:r>
      <w:proofErr w:type="gramStart"/>
      <w:r>
        <w:t>are focused</w:t>
      </w:r>
      <w:proofErr w:type="gramEnd"/>
      <w:r>
        <w:t xml:space="preserve"> on Campylobacter spp.</w:t>
      </w:r>
    </w:p>
    <w:p w:rsidR="00E9334E" w:rsidRDefault="009517C2" w:rsidP="004560D6">
      <w:pPr>
        <w:pStyle w:val="Titre1"/>
        <w:rPr>
          <w:rFonts w:asciiTheme="minorHAnsi" w:hAnsiTheme="minorHAnsi" w:cstheme="minorHAnsi"/>
          <w:b w:val="0"/>
          <w:sz w:val="22"/>
          <w:szCs w:val="24"/>
          <w:lang w:val="en-US"/>
        </w:rPr>
      </w:pPr>
      <w:r w:rsidRPr="009517C2">
        <w:rPr>
          <w:rFonts w:asciiTheme="minorHAnsi" w:hAnsiTheme="minorHAnsi" w:cstheme="minorHAnsi"/>
          <w:b w:val="0"/>
          <w:sz w:val="22"/>
          <w:szCs w:val="24"/>
          <w:lang w:val="en-US"/>
        </w:rPr>
        <w:t xml:space="preserve">Scalding – hanging </w:t>
      </w:r>
    </w:p>
    <w:p w:rsidR="009517C2" w:rsidRPr="009517C2" w:rsidRDefault="0097414D" w:rsidP="004560D6">
      <w:pPr>
        <w:pStyle w:val="Titre1"/>
        <w:rPr>
          <w:rFonts w:asciiTheme="minorHAnsi" w:hAnsiTheme="minorHAnsi" w:cstheme="minorHAnsi"/>
          <w:b w:val="0"/>
          <w:sz w:val="22"/>
          <w:szCs w:val="24"/>
          <w:lang w:val="en-US"/>
        </w:rPr>
      </w:pPr>
      <w:r>
        <w:rPr>
          <w:rFonts w:asciiTheme="minorHAnsi" w:hAnsiTheme="minorHAnsi" w:cstheme="minorHAnsi"/>
          <w:b w:val="0"/>
          <w:sz w:val="22"/>
          <w:szCs w:val="24"/>
          <w:lang w:val="en-US"/>
        </w:rPr>
        <w:t xml:space="preserve">Portioning – cutting (manual or mechanical) 20-30 Worker 3 </w:t>
      </w:r>
      <w:r w:rsidR="00674543">
        <w:rPr>
          <w:rFonts w:asciiTheme="minorHAnsi" w:hAnsiTheme="minorHAnsi" w:cstheme="minorHAnsi"/>
          <w:b w:val="0"/>
          <w:sz w:val="22"/>
          <w:szCs w:val="24"/>
          <w:lang w:val="en-US"/>
        </w:rPr>
        <w:t>process 50k-150k chickens per day</w:t>
      </w:r>
      <w:r w:rsidR="00652EB5">
        <w:rPr>
          <w:rFonts w:asciiTheme="minorHAnsi" w:hAnsiTheme="minorHAnsi" w:cstheme="minorHAnsi"/>
          <w:b w:val="0"/>
          <w:sz w:val="22"/>
          <w:szCs w:val="24"/>
          <w:lang w:val="en-US"/>
        </w:rPr>
        <w:t xml:space="preserve"> – divide by </w:t>
      </w:r>
      <w:proofErr w:type="spellStart"/>
      <w:r w:rsidR="006E647D">
        <w:rPr>
          <w:rFonts w:asciiTheme="minorHAnsi" w:hAnsiTheme="minorHAnsi" w:cstheme="minorHAnsi"/>
          <w:b w:val="0"/>
          <w:sz w:val="22"/>
          <w:szCs w:val="24"/>
          <w:lang w:val="en-US"/>
        </w:rPr>
        <w:t>upto</w:t>
      </w:r>
      <w:proofErr w:type="spellEnd"/>
      <w:r w:rsidR="006E647D">
        <w:rPr>
          <w:rFonts w:asciiTheme="minorHAnsi" w:hAnsiTheme="minorHAnsi" w:cstheme="minorHAnsi"/>
          <w:b w:val="0"/>
          <w:sz w:val="22"/>
          <w:szCs w:val="24"/>
          <w:lang w:val="en-US"/>
        </w:rPr>
        <w:t xml:space="preserve"> </w:t>
      </w:r>
      <w:r w:rsidR="00652EB5">
        <w:rPr>
          <w:rFonts w:asciiTheme="minorHAnsi" w:hAnsiTheme="minorHAnsi" w:cstheme="minorHAnsi"/>
          <w:b w:val="0"/>
          <w:sz w:val="22"/>
          <w:szCs w:val="24"/>
          <w:lang w:val="en-US"/>
        </w:rPr>
        <w:t>15 the exposure</w:t>
      </w:r>
      <w:r w:rsidR="006E647D">
        <w:rPr>
          <w:rFonts w:asciiTheme="minorHAnsi" w:hAnsiTheme="minorHAnsi" w:cstheme="minorHAnsi"/>
          <w:b w:val="0"/>
          <w:sz w:val="22"/>
          <w:szCs w:val="24"/>
          <w:lang w:val="en-US"/>
        </w:rPr>
        <w:t>.</w:t>
      </w:r>
    </w:p>
    <w:p w:rsidR="00B52517" w:rsidRDefault="00B52517" w:rsidP="004560D6">
      <w:pPr>
        <w:pStyle w:val="Titre1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gramStart"/>
      <w:r w:rsidRPr="00B52517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Price et al. (2007)</w:t>
      </w:r>
      <w:r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- </w:t>
      </w:r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>At the end of the grow-out period, chickens are captured by people called “catchers,” placed into cages, and transported to the slaughtering facilities</w:t>
      </w:r>
      <w:proofErr w:type="gramEnd"/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. Once delivered to the slaughterhouse, the broilers </w:t>
      </w:r>
      <w:proofErr w:type="gramStart"/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>are removed from the cages and shackled to semi</w:t>
      </w:r>
      <w:r w:rsidR="00104F54">
        <w:rPr>
          <w:rFonts w:asciiTheme="minorHAnsi" w:hAnsiTheme="minorHAnsi" w:cstheme="minorHAnsi"/>
          <w:b w:val="0"/>
          <w:sz w:val="22"/>
          <w:szCs w:val="22"/>
          <w:lang w:val="en-US"/>
        </w:rPr>
        <w:t>-</w:t>
      </w:r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>automated slaughter lines by people called “live hangers.”</w:t>
      </w:r>
      <w:proofErr w:type="gramEnd"/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Thus, </w:t>
      </w:r>
      <w:r w:rsidRPr="00B52517">
        <w:rPr>
          <w:rFonts w:asciiTheme="minorHAnsi" w:hAnsiTheme="minorHAnsi" w:cstheme="minorHAnsi"/>
          <w:b w:val="0"/>
          <w:color w:val="FF0000"/>
          <w:sz w:val="22"/>
          <w:szCs w:val="22"/>
          <w:lang w:val="en-US"/>
        </w:rPr>
        <w:t>growing</w:t>
      </w:r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r w:rsidRPr="00B52517">
        <w:rPr>
          <w:rFonts w:asciiTheme="minorHAnsi" w:hAnsiTheme="minorHAnsi" w:cstheme="minorHAnsi"/>
          <w:b w:val="0"/>
          <w:color w:val="FF0000"/>
          <w:sz w:val="22"/>
          <w:szCs w:val="22"/>
          <w:lang w:val="en-US"/>
        </w:rPr>
        <w:t>catching</w:t>
      </w:r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and </w:t>
      </w:r>
      <w:r w:rsidRPr="00B52517">
        <w:rPr>
          <w:rFonts w:asciiTheme="minorHAnsi" w:hAnsiTheme="minorHAnsi" w:cstheme="minorHAnsi"/>
          <w:b w:val="0"/>
          <w:color w:val="FF0000"/>
          <w:sz w:val="22"/>
          <w:szCs w:val="22"/>
          <w:lang w:val="en-US"/>
        </w:rPr>
        <w:t xml:space="preserve">hanging </w:t>
      </w:r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>are the three tasks with the most intensive live-animal exposures. For example, a catcher will capture and cage thousands of chickens in a single workday (</w:t>
      </w:r>
      <w:hyperlink r:id="rId5" w:anchor="b11-ehp0115-001738" w:history="1">
        <w:r w:rsidRPr="00B52517">
          <w:rPr>
            <w:rStyle w:val="Lienhypertexte"/>
            <w:rFonts w:asciiTheme="minorHAnsi" w:hAnsiTheme="minorHAnsi" w:cstheme="minorHAnsi"/>
            <w:b w:val="0"/>
            <w:sz w:val="22"/>
            <w:szCs w:val="22"/>
            <w:lang w:val="en-US"/>
          </w:rPr>
          <w:t>Goodman 2006</w:t>
        </w:r>
      </w:hyperlink>
      <w:r w:rsidRPr="00B52517">
        <w:rPr>
          <w:rFonts w:asciiTheme="minorHAnsi" w:hAnsiTheme="minorHAnsi" w:cstheme="minorHAnsi"/>
          <w:b w:val="0"/>
          <w:sz w:val="22"/>
          <w:szCs w:val="22"/>
          <w:lang w:val="en-US"/>
        </w:rPr>
        <w:t>).</w:t>
      </w:r>
    </w:p>
    <w:p w:rsidR="00976ABB" w:rsidRPr="00BC75C7" w:rsidRDefault="00976ABB" w:rsidP="004560D6">
      <w:pPr>
        <w:pStyle w:val="Titre1"/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</w:pPr>
    </w:p>
    <w:p w:rsidR="004560D6" w:rsidRPr="00BC75C7" w:rsidRDefault="004560D6" w:rsidP="004560D6">
      <w:pPr>
        <w:pStyle w:val="Titre1"/>
        <w:rPr>
          <w:rFonts w:asciiTheme="minorHAnsi" w:hAnsiTheme="minorHAnsi" w:cstheme="minorHAnsi"/>
          <w:b w:val="0"/>
          <w:color w:val="2E74B5" w:themeColor="accent1" w:themeShade="BF"/>
          <w:sz w:val="22"/>
          <w:szCs w:val="24"/>
          <w:lang w:val="en-US"/>
        </w:rPr>
      </w:pPr>
      <w:r w:rsidRPr="00BC75C7">
        <w:rPr>
          <w:rFonts w:asciiTheme="minorHAnsi" w:hAnsiTheme="minorHAnsi" w:cstheme="minorHAnsi"/>
          <w:b w:val="0"/>
          <w:color w:val="2E74B5" w:themeColor="accent1" w:themeShade="BF"/>
          <w:sz w:val="22"/>
          <w:szCs w:val="24"/>
          <w:lang w:val="en-US"/>
        </w:rPr>
        <w:t xml:space="preserve">Racicot et al., (2013) - Assessing most practical and effective protocols to sanitize hands of poultry catching </w:t>
      </w:r>
      <w:proofErr w:type="gramStart"/>
      <w:r w:rsidRPr="00BC75C7">
        <w:rPr>
          <w:rFonts w:asciiTheme="minorHAnsi" w:hAnsiTheme="minorHAnsi" w:cstheme="minorHAnsi"/>
          <w:b w:val="0"/>
          <w:color w:val="2E74B5" w:themeColor="accent1" w:themeShade="BF"/>
          <w:sz w:val="22"/>
          <w:szCs w:val="24"/>
          <w:lang w:val="en-US"/>
        </w:rPr>
        <w:t>crew members</w:t>
      </w:r>
      <w:proofErr w:type="gramEnd"/>
      <w:r w:rsidRPr="00BC75C7">
        <w:rPr>
          <w:rFonts w:asciiTheme="minorHAnsi" w:hAnsiTheme="minorHAnsi" w:cstheme="minorHAnsi"/>
          <w:b w:val="0"/>
          <w:color w:val="2E74B5" w:themeColor="accent1" w:themeShade="BF"/>
          <w:sz w:val="22"/>
          <w:szCs w:val="24"/>
          <w:lang w:val="en-US"/>
        </w:rPr>
        <w:t xml:space="preserve">. </w:t>
      </w:r>
      <w:r w:rsidRPr="004560D6">
        <w:rPr>
          <w:rFonts w:asciiTheme="minorHAnsi" w:hAnsiTheme="minorHAnsi" w:cstheme="minorHAnsi"/>
          <w:b w:val="0"/>
          <w:sz w:val="22"/>
          <w:szCs w:val="24"/>
          <w:lang w:val="en-US"/>
        </w:rPr>
        <w:t>When hands were highly contaminated, the alcohol-based gel alone was less effective than the degreasing cream combined with the alcohol-based gel.</w:t>
      </w:r>
    </w:p>
    <w:p w:rsidR="004560D6" w:rsidRPr="004560D6" w:rsidRDefault="004560D6" w:rsidP="004560D6">
      <w:pPr>
        <w:pStyle w:val="Titre1"/>
        <w:rPr>
          <w:rFonts w:asciiTheme="minorHAnsi" w:hAnsiTheme="minorHAnsi" w:cstheme="minorHAnsi"/>
          <w:b w:val="0"/>
          <w:sz w:val="22"/>
          <w:szCs w:val="24"/>
          <w:lang w:val="en-US"/>
        </w:rPr>
      </w:pPr>
    </w:p>
    <w:p w:rsidR="002013A7" w:rsidRPr="00DE37AA" w:rsidRDefault="00C818A7" w:rsidP="00DE37AA">
      <w:pPr>
        <w:rPr>
          <w:color w:val="2E74B5" w:themeColor="accent1" w:themeShade="BF"/>
          <w:szCs w:val="24"/>
        </w:rPr>
      </w:pPr>
      <w:r w:rsidRPr="004560D6">
        <w:rPr>
          <w:color w:val="2E74B5" w:themeColor="accent1" w:themeShade="BF"/>
          <w:szCs w:val="24"/>
        </w:rPr>
        <w:t xml:space="preserve">Youssef et al. </w:t>
      </w:r>
      <w:r>
        <w:rPr>
          <w:color w:val="2E74B5" w:themeColor="accent1" w:themeShade="BF"/>
          <w:szCs w:val="24"/>
        </w:rPr>
        <w:t>(</w:t>
      </w:r>
      <w:r w:rsidRPr="004560D6">
        <w:rPr>
          <w:color w:val="2E74B5" w:themeColor="accent1" w:themeShade="BF"/>
          <w:szCs w:val="24"/>
        </w:rPr>
        <w:t>2020</w:t>
      </w:r>
      <w:r>
        <w:rPr>
          <w:color w:val="2E74B5" w:themeColor="accent1" w:themeShade="BF"/>
          <w:szCs w:val="24"/>
        </w:rPr>
        <w:t>) -</w:t>
      </w:r>
      <w:r w:rsidR="00DE37AA" w:rsidRPr="00DE37AA">
        <w:t xml:space="preserve"> </w:t>
      </w:r>
      <w:r w:rsidR="00DE37AA" w:rsidRPr="00DE37AA">
        <w:rPr>
          <w:color w:val="2E74B5" w:themeColor="accent1" w:themeShade="BF"/>
          <w:szCs w:val="24"/>
        </w:rPr>
        <w:t>The effectiveness of biosecurit</w:t>
      </w:r>
      <w:r w:rsidR="00DE37AA">
        <w:rPr>
          <w:color w:val="2E74B5" w:themeColor="accent1" w:themeShade="BF"/>
          <w:szCs w:val="24"/>
        </w:rPr>
        <w:t xml:space="preserve">y interventions in reducing the </w:t>
      </w:r>
      <w:r w:rsidR="00DE37AA" w:rsidRPr="00DE37AA">
        <w:rPr>
          <w:color w:val="2E74B5" w:themeColor="accent1" w:themeShade="BF"/>
          <w:szCs w:val="24"/>
        </w:rPr>
        <w:t xml:space="preserve">transmission of bacteria from </w:t>
      </w:r>
      <w:r w:rsidR="00DE37AA">
        <w:rPr>
          <w:color w:val="2E74B5" w:themeColor="accent1" w:themeShade="BF"/>
          <w:szCs w:val="24"/>
        </w:rPr>
        <w:t xml:space="preserve">livestock to humans at the farm </w:t>
      </w:r>
      <w:r w:rsidR="00DE37AA" w:rsidRPr="00DE37AA">
        <w:rPr>
          <w:color w:val="2E74B5" w:themeColor="accent1" w:themeShade="BF"/>
          <w:szCs w:val="24"/>
        </w:rPr>
        <w:t>level: A systematic literature review</w:t>
      </w:r>
      <w:r>
        <w:rPr>
          <w:color w:val="2E74B5" w:themeColor="accent1" w:themeShade="BF"/>
          <w:szCs w:val="24"/>
        </w:rPr>
        <w:t xml:space="preserve"> </w:t>
      </w:r>
      <w:proofErr w:type="gramStart"/>
      <w:r w:rsidR="00582160">
        <w:rPr>
          <w:szCs w:val="24"/>
        </w:rPr>
        <w:t>Two</w:t>
      </w:r>
      <w:proofErr w:type="gramEnd"/>
      <w:r w:rsidR="00582160">
        <w:rPr>
          <w:szCs w:val="24"/>
        </w:rPr>
        <w:t xml:space="preserve"> </w:t>
      </w:r>
      <w:r w:rsidR="002F141C" w:rsidRPr="004560D6">
        <w:rPr>
          <w:szCs w:val="24"/>
        </w:rPr>
        <w:t>main types of biosecurity interventions</w:t>
      </w:r>
      <w:r w:rsidR="00582160">
        <w:rPr>
          <w:szCs w:val="24"/>
        </w:rPr>
        <w:t xml:space="preserve"> in poultry farms</w:t>
      </w:r>
      <w:r w:rsidR="002F141C" w:rsidRPr="004560D6">
        <w:rPr>
          <w:szCs w:val="24"/>
        </w:rPr>
        <w:t xml:space="preserve">: </w:t>
      </w:r>
    </w:p>
    <w:p w:rsidR="002013A7" w:rsidRPr="004560D6" w:rsidRDefault="002F141C" w:rsidP="002F141C">
      <w:pPr>
        <w:rPr>
          <w:szCs w:val="24"/>
        </w:rPr>
      </w:pPr>
      <w:r w:rsidRPr="004560D6">
        <w:rPr>
          <w:szCs w:val="24"/>
        </w:rPr>
        <w:t xml:space="preserve">(a) </w:t>
      </w:r>
      <w:proofErr w:type="gramStart"/>
      <w:r w:rsidRPr="004560D6">
        <w:rPr>
          <w:szCs w:val="24"/>
        </w:rPr>
        <w:t>hand</w:t>
      </w:r>
      <w:proofErr w:type="gramEnd"/>
      <w:r w:rsidRPr="004560D6">
        <w:rPr>
          <w:szCs w:val="24"/>
        </w:rPr>
        <w:t xml:space="preserve"> washing, sanitization and hygienic measures; </w:t>
      </w:r>
    </w:p>
    <w:p w:rsidR="002013A7" w:rsidRPr="004560D6" w:rsidRDefault="002F141C" w:rsidP="002F141C">
      <w:pPr>
        <w:rPr>
          <w:szCs w:val="24"/>
        </w:rPr>
      </w:pPr>
      <w:r w:rsidRPr="004560D6">
        <w:rPr>
          <w:szCs w:val="24"/>
        </w:rPr>
        <w:t xml:space="preserve">(b) </w:t>
      </w:r>
      <w:proofErr w:type="gramStart"/>
      <w:r w:rsidRPr="004560D6">
        <w:rPr>
          <w:szCs w:val="24"/>
        </w:rPr>
        <w:t>personal</w:t>
      </w:r>
      <w:proofErr w:type="gramEnd"/>
      <w:r w:rsidRPr="004560D6">
        <w:rPr>
          <w:szCs w:val="24"/>
        </w:rPr>
        <w:t xml:space="preserve"> p</w:t>
      </w:r>
      <w:r w:rsidR="002013A7" w:rsidRPr="004560D6">
        <w:rPr>
          <w:szCs w:val="24"/>
        </w:rPr>
        <w:t>rotective equip</w:t>
      </w:r>
      <w:r w:rsidRPr="004560D6">
        <w:rPr>
          <w:szCs w:val="24"/>
        </w:rPr>
        <w:t xml:space="preserve">ment (PPE); </w:t>
      </w:r>
    </w:p>
    <w:p w:rsidR="002F141C" w:rsidRDefault="002F141C" w:rsidP="002F141C"/>
    <w:p w:rsidR="004560D6" w:rsidRDefault="004560D6" w:rsidP="002F141C">
      <w:r w:rsidRPr="004560D6">
        <w:rPr>
          <w:color w:val="2E74B5" w:themeColor="accent1" w:themeShade="BF"/>
        </w:rPr>
        <w:t>Ridley et al. (2011)</w:t>
      </w:r>
      <w:r>
        <w:t xml:space="preserve"> - Enhanced biosecurity measures in poultry farms (</w:t>
      </w:r>
      <w:r w:rsidRPr="004560D6">
        <w:t>Campylobacter</w:t>
      </w:r>
      <w:r>
        <w:t>):</w:t>
      </w:r>
    </w:p>
    <w:p w:rsidR="004560D6" w:rsidRDefault="004560D6" w:rsidP="002F141C">
      <w:r>
        <w:t xml:space="preserve">(a) </w:t>
      </w:r>
      <w:r w:rsidRPr="004560D6">
        <w:t>Cleaning and disinfection</w:t>
      </w:r>
      <w:r>
        <w:t xml:space="preserve"> </w:t>
      </w:r>
    </w:p>
    <w:p w:rsidR="004560D6" w:rsidRDefault="004560D6" w:rsidP="004560D6">
      <w:r>
        <w:t>(b) Provision of a mobile mess ⁄ changing room for the catching crew</w:t>
      </w:r>
    </w:p>
    <w:p w:rsidR="00616F9F" w:rsidRDefault="0075605E" w:rsidP="0075605E">
      <w:r>
        <w:t xml:space="preserve">(c) A requirement for catchers to bring with them fresh clothing, dedicated footwear and any ancillary equipment, including </w:t>
      </w:r>
      <w:proofErr w:type="gramStart"/>
      <w:r>
        <w:t>face masks</w:t>
      </w:r>
      <w:proofErr w:type="gramEnd"/>
      <w:r>
        <w:t xml:space="preserve"> and gloves</w:t>
      </w:r>
    </w:p>
    <w:p w:rsidR="00616F9F" w:rsidRDefault="007F6679" w:rsidP="00616F9F">
      <w:pPr>
        <w:rPr>
          <w:color w:val="000000" w:themeColor="text1"/>
          <w:lang w:val="fr-FR"/>
        </w:rPr>
      </w:pPr>
      <w:r w:rsidRPr="00E9334E">
        <w:rPr>
          <w:color w:val="2E74B5" w:themeColor="accent1" w:themeShade="BF"/>
          <w:lang w:val="fr-FR"/>
        </w:rPr>
        <w:t xml:space="preserve">Mo et al. </w:t>
      </w:r>
      <w:r w:rsidRPr="008B3B03">
        <w:rPr>
          <w:color w:val="2E74B5" w:themeColor="accent1" w:themeShade="BF"/>
          <w:lang w:val="fr-FR"/>
        </w:rPr>
        <w:t xml:space="preserve">(2016) </w:t>
      </w:r>
      <w:r w:rsidRPr="008B3B03">
        <w:rPr>
          <w:color w:val="000000" w:themeColor="text1"/>
          <w:lang w:val="fr-FR"/>
        </w:rPr>
        <w:t xml:space="preserve">– </w:t>
      </w:r>
      <w:proofErr w:type="spellStart"/>
      <w:r w:rsidRPr="008B3B03">
        <w:rPr>
          <w:color w:val="000000" w:themeColor="text1"/>
          <w:lang w:val="fr-FR"/>
        </w:rPr>
        <w:t>Norwagien</w:t>
      </w:r>
      <w:proofErr w:type="spellEnd"/>
      <w:r w:rsidRPr="008B3B03">
        <w:rPr>
          <w:color w:val="000000" w:themeColor="text1"/>
          <w:lang w:val="fr-FR"/>
        </w:rPr>
        <w:t xml:space="preserve"> </w:t>
      </w:r>
      <w:proofErr w:type="spellStart"/>
      <w:r w:rsidRPr="008B3B03">
        <w:rPr>
          <w:color w:val="000000" w:themeColor="text1"/>
          <w:lang w:val="fr-FR"/>
        </w:rPr>
        <w:t>poultry</w:t>
      </w:r>
      <w:proofErr w:type="spellEnd"/>
      <w:r w:rsidRPr="008B3B03">
        <w:rPr>
          <w:color w:val="000000" w:themeColor="text1"/>
          <w:lang w:val="fr-FR"/>
        </w:rPr>
        <w:t xml:space="preserve"> </w:t>
      </w:r>
      <w:proofErr w:type="spellStart"/>
      <w:r w:rsidRPr="008B3B03">
        <w:rPr>
          <w:color w:val="000000" w:themeColor="text1"/>
          <w:lang w:val="fr-FR"/>
        </w:rPr>
        <w:t>farm</w:t>
      </w:r>
      <w:proofErr w:type="spellEnd"/>
      <w:r w:rsidRPr="008B3B03">
        <w:rPr>
          <w:color w:val="000000" w:themeColor="text1"/>
          <w:lang w:val="fr-FR"/>
        </w:rPr>
        <w:t xml:space="preserve"> questionnaire</w:t>
      </w:r>
      <w:r w:rsidR="008252DB" w:rsidRPr="008B3B03">
        <w:rPr>
          <w:color w:val="000000" w:themeColor="text1"/>
          <w:lang w:val="fr-FR"/>
        </w:rPr>
        <w:t xml:space="preserve"> on </w:t>
      </w:r>
      <w:proofErr w:type="spellStart"/>
      <w:r w:rsidR="008252DB" w:rsidRPr="008B3B03">
        <w:rPr>
          <w:color w:val="000000" w:themeColor="text1"/>
          <w:lang w:val="fr-FR"/>
        </w:rPr>
        <w:t>hygiene</w:t>
      </w:r>
      <w:proofErr w:type="spellEnd"/>
      <w:r w:rsidR="008252DB" w:rsidRPr="008B3B03">
        <w:rPr>
          <w:color w:val="000000" w:themeColor="text1"/>
          <w:lang w:val="fr-FR"/>
        </w:rPr>
        <w:t xml:space="preserve"> practices</w:t>
      </w:r>
    </w:p>
    <w:p w:rsidR="003C5770" w:rsidRPr="006D52D2" w:rsidRDefault="006D52D2" w:rsidP="006D52D2">
      <w:pPr>
        <w:pStyle w:val="Titre1"/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</w:pPr>
      <w:proofErr w:type="spellStart"/>
      <w:r w:rsidRPr="004C302B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Wadepohl</w:t>
      </w:r>
      <w:proofErr w:type="spellEnd"/>
      <w:r w:rsidRPr="004C302B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et al. </w:t>
      </w:r>
      <w:r w:rsidRPr="006D52D2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(2020) Association of intestinal colonization of ESBL-producing </w:t>
      </w:r>
      <w:proofErr w:type="spellStart"/>
      <w:r w:rsidRPr="006D52D2">
        <w:rPr>
          <w:rFonts w:asciiTheme="minorHAnsi" w:hAnsiTheme="minorHAnsi" w:cstheme="minorHAnsi"/>
          <w:b w:val="0"/>
          <w:i/>
          <w:iCs/>
          <w:color w:val="2E74B5" w:themeColor="accent1" w:themeShade="BF"/>
          <w:sz w:val="22"/>
          <w:szCs w:val="22"/>
          <w:lang w:val="en-US"/>
        </w:rPr>
        <w:t>Enterobacteriaceae</w:t>
      </w:r>
      <w:proofErr w:type="spellEnd"/>
      <w:r w:rsidRPr="006D52D2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in poultry slaughterhouse workers with occupational exposure—A German pilot study</w:t>
      </w:r>
      <w:r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br/>
      </w:r>
      <w:proofErr w:type="gramStart"/>
      <w:r w:rsidR="003C5770" w:rsidRPr="006D52D2">
        <w:rPr>
          <w:rFonts w:asciiTheme="minorHAnsi" w:hAnsiTheme="minorHAnsi" w:cstheme="minorHAnsi"/>
          <w:b w:val="0"/>
          <w:sz w:val="22"/>
          <w:szCs w:val="22"/>
          <w:lang w:val="en-US"/>
        </w:rPr>
        <w:t>This</w:t>
      </w:r>
      <w:proofErr w:type="gramEnd"/>
      <w:r w:rsidR="003C5770" w:rsidRPr="006D52D2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study is the first of its kind to collect data on the occupational exposure of slaughter house workers to ESBL-producing </w:t>
      </w:r>
      <w:proofErr w:type="spellStart"/>
      <w:r w:rsidR="003C5770" w:rsidRPr="006D52D2">
        <w:rPr>
          <w:rFonts w:asciiTheme="minorHAnsi" w:hAnsiTheme="minorHAnsi" w:cstheme="minorHAnsi"/>
          <w:b w:val="0"/>
          <w:sz w:val="22"/>
          <w:szCs w:val="22"/>
          <w:lang w:val="en-US"/>
        </w:rPr>
        <w:t>Enterobacteriaceae</w:t>
      </w:r>
      <w:proofErr w:type="spellEnd"/>
      <w:r w:rsidR="003C5770" w:rsidRPr="006D52D2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in Europe.</w:t>
      </w:r>
    </w:p>
    <w:p w:rsidR="003C5770" w:rsidRDefault="003C5770" w:rsidP="003C5770">
      <w:pPr>
        <w:rPr>
          <w:color w:val="2E74B5" w:themeColor="accent1" w:themeShade="BF"/>
        </w:rPr>
      </w:pPr>
      <w:r>
        <w:rPr>
          <w:noProof/>
          <w:color w:val="2E74B5" w:themeColor="accent1" w:themeShade="BF"/>
          <w:lang w:val="fr-FR" w:eastAsia="fr-FR"/>
        </w:rPr>
        <w:drawing>
          <wp:inline distT="0" distB="0" distL="0" distR="0">
            <wp:extent cx="5099050" cy="4826449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cc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8" cy="483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01" w:rsidRPr="008D5301" w:rsidRDefault="008D5301" w:rsidP="00127C2E">
      <w:pPr>
        <w:rPr>
          <w:rFonts w:eastAsia="CIDFont+F1" w:cstheme="minorHAnsi"/>
          <w:color w:val="000000" w:themeColor="text1"/>
        </w:rPr>
      </w:pPr>
      <w:proofErr w:type="spellStart"/>
      <w:r w:rsidRPr="008D5301">
        <w:rPr>
          <w:rFonts w:eastAsia="CIDFont+F1" w:cstheme="minorHAnsi"/>
          <w:color w:val="2E74B5" w:themeColor="accent1" w:themeShade="BF"/>
        </w:rPr>
        <w:t>Dohmen</w:t>
      </w:r>
      <w:proofErr w:type="spellEnd"/>
      <w:r w:rsidRPr="008D5301">
        <w:rPr>
          <w:rFonts w:eastAsia="CIDFont+F1" w:cstheme="minorHAnsi"/>
          <w:color w:val="2E74B5" w:themeColor="accent1" w:themeShade="BF"/>
        </w:rPr>
        <w:t xml:space="preserve"> et al. (2017) Air exposure as a possible route for ESBL in pig farmers </w:t>
      </w:r>
      <w:r w:rsidRPr="008D5301">
        <w:rPr>
          <w:rFonts w:cstheme="minorHAnsi"/>
          <w:color w:val="000000" w:themeColor="text1"/>
        </w:rPr>
        <w:t>Possibility of Air transmission but no quantitative exposure measurement</w:t>
      </w:r>
    </w:p>
    <w:p w:rsidR="00703762" w:rsidRPr="00703762" w:rsidRDefault="00703762" w:rsidP="00127C2E">
      <w:pPr>
        <w:rPr>
          <w:rFonts w:cstheme="minorHAnsi"/>
        </w:rPr>
      </w:pPr>
      <w:proofErr w:type="spellStart"/>
      <w:r w:rsidRPr="00703762">
        <w:rPr>
          <w:rFonts w:eastAsia="CIDFont+F1" w:cstheme="minorHAnsi"/>
          <w:color w:val="2E74B5" w:themeColor="accent1" w:themeShade="BF"/>
        </w:rPr>
        <w:t>Franceschini</w:t>
      </w:r>
      <w:proofErr w:type="spellEnd"/>
      <w:r w:rsidRPr="00703762">
        <w:rPr>
          <w:rFonts w:eastAsia="CIDFont+F1" w:cstheme="minorHAnsi"/>
          <w:color w:val="2E74B5" w:themeColor="accent1" w:themeShade="BF"/>
        </w:rPr>
        <w:t xml:space="preserve"> et al</w:t>
      </w:r>
      <w:proofErr w:type="gramStart"/>
      <w:r w:rsidRPr="00703762">
        <w:rPr>
          <w:rFonts w:eastAsia="CIDFont+F1" w:cstheme="minorHAnsi"/>
          <w:color w:val="2E74B5" w:themeColor="accent1" w:themeShade="BF"/>
        </w:rPr>
        <w:t>.(</w:t>
      </w:r>
      <w:proofErr w:type="gramEnd"/>
      <w:r w:rsidRPr="00703762">
        <w:rPr>
          <w:rFonts w:eastAsia="CIDFont+F1" w:cstheme="minorHAnsi"/>
          <w:color w:val="2E74B5" w:themeColor="accent1" w:themeShade="BF"/>
        </w:rPr>
        <w:t xml:space="preserve">2019) Assessment of the Exposure of Turkey Farmers to Antimicrobial Resistance Associated with Working Practices </w:t>
      </w:r>
      <w:r w:rsidRPr="00703762">
        <w:rPr>
          <w:rFonts w:eastAsia="CIDFont+F1" w:cstheme="minorHAnsi"/>
        </w:rPr>
        <w:t>semi-quantitative analysis for ranking of fam practices</w:t>
      </w:r>
    </w:p>
    <w:p w:rsidR="002B522D" w:rsidRPr="002B522D" w:rsidRDefault="00127C2E" w:rsidP="00127C2E">
      <w:proofErr w:type="spellStart"/>
      <w:r>
        <w:rPr>
          <w:color w:val="2E74B5" w:themeColor="accent1" w:themeShade="BF"/>
        </w:rPr>
        <w:lastRenderedPageBreak/>
        <w:t>Fastl</w:t>
      </w:r>
      <w:proofErr w:type="spellEnd"/>
      <w:r>
        <w:rPr>
          <w:color w:val="2E74B5" w:themeColor="accent1" w:themeShade="BF"/>
        </w:rPr>
        <w:t xml:space="preserve"> et al. (2023) </w:t>
      </w:r>
      <w:r w:rsidRPr="00127C2E">
        <w:rPr>
          <w:color w:val="2E74B5" w:themeColor="accent1" w:themeShade="BF"/>
        </w:rPr>
        <w:t>Animal sources of antimicrobial</w:t>
      </w:r>
      <w:r>
        <w:rPr>
          <w:color w:val="2E74B5" w:themeColor="accent1" w:themeShade="BF"/>
        </w:rPr>
        <w:t xml:space="preserve">-resistant </w:t>
      </w:r>
      <w:r w:rsidRPr="00127C2E">
        <w:rPr>
          <w:color w:val="2E74B5" w:themeColor="accent1" w:themeShade="BF"/>
        </w:rPr>
        <w:t>bacterial inf</w:t>
      </w:r>
      <w:r>
        <w:rPr>
          <w:color w:val="2E74B5" w:themeColor="accent1" w:themeShade="BF"/>
        </w:rPr>
        <w:t xml:space="preserve">ections in humans: a systematic </w:t>
      </w:r>
      <w:r w:rsidRPr="00127C2E">
        <w:rPr>
          <w:color w:val="2E74B5" w:themeColor="accent1" w:themeShade="BF"/>
        </w:rPr>
        <w:t>review</w:t>
      </w:r>
      <w:r>
        <w:rPr>
          <w:color w:val="2E74B5" w:themeColor="accent1" w:themeShade="BF"/>
        </w:rPr>
        <w:t>.</w:t>
      </w:r>
      <w:r w:rsidR="002B522D">
        <w:rPr>
          <w:color w:val="2E74B5" w:themeColor="accent1" w:themeShade="BF"/>
        </w:rPr>
        <w:t xml:space="preserve"> </w:t>
      </w:r>
      <w:r w:rsidR="002B522D">
        <w:t>Review paper.</w:t>
      </w:r>
    </w:p>
    <w:p w:rsidR="00733E3C" w:rsidRDefault="00733E3C" w:rsidP="00733E3C">
      <w:pPr>
        <w:rPr>
          <w:color w:val="2E74B5" w:themeColor="accent1" w:themeShade="BF"/>
        </w:rPr>
      </w:pPr>
      <w:proofErr w:type="spellStart"/>
      <w:r w:rsidRPr="00733E3C">
        <w:rPr>
          <w:color w:val="2E74B5" w:themeColor="accent1" w:themeShade="BF"/>
        </w:rPr>
        <w:t>Opatowski</w:t>
      </w:r>
      <w:proofErr w:type="spellEnd"/>
      <w:r w:rsidRPr="00733E3C">
        <w:rPr>
          <w:color w:val="2E74B5" w:themeColor="accent1" w:themeShade="BF"/>
        </w:rPr>
        <w:t xml:space="preserve"> et al. </w:t>
      </w:r>
      <w:r>
        <w:rPr>
          <w:color w:val="2E74B5" w:themeColor="accent1" w:themeShade="BF"/>
        </w:rPr>
        <w:t xml:space="preserve">(2021) </w:t>
      </w:r>
      <w:r w:rsidRPr="00733E3C">
        <w:rPr>
          <w:color w:val="2E74B5" w:themeColor="accent1" w:themeShade="BF"/>
        </w:rPr>
        <w:t>A One-Health Quantitat</w:t>
      </w:r>
      <w:r>
        <w:rPr>
          <w:color w:val="2E74B5" w:themeColor="accent1" w:themeShade="BF"/>
        </w:rPr>
        <w:t xml:space="preserve">ive Model to Assess the Risk of </w:t>
      </w:r>
      <w:r w:rsidRPr="00733E3C">
        <w:rPr>
          <w:color w:val="2E74B5" w:themeColor="accent1" w:themeShade="BF"/>
        </w:rPr>
        <w:t>Antibiotic Resistance Ac</w:t>
      </w:r>
      <w:r>
        <w:rPr>
          <w:color w:val="2E74B5" w:themeColor="accent1" w:themeShade="BF"/>
        </w:rPr>
        <w:t xml:space="preserve">quisition in Asian Populations: </w:t>
      </w:r>
      <w:r w:rsidRPr="00733E3C">
        <w:rPr>
          <w:color w:val="2E74B5" w:themeColor="accent1" w:themeShade="BF"/>
        </w:rPr>
        <w:t xml:space="preserve">Impact of Exposure </w:t>
      </w:r>
      <w:proofErr w:type="gramStart"/>
      <w:r w:rsidRPr="00733E3C">
        <w:rPr>
          <w:color w:val="2E74B5" w:themeColor="accent1" w:themeShade="BF"/>
        </w:rPr>
        <w:t>Through</w:t>
      </w:r>
      <w:proofErr w:type="gramEnd"/>
      <w:r w:rsidRPr="00733E3C">
        <w:rPr>
          <w:color w:val="2E74B5" w:themeColor="accent1" w:themeShade="BF"/>
        </w:rPr>
        <w:t xml:space="preserve"> Food, Water, Livestock and</w:t>
      </w:r>
      <w:r>
        <w:rPr>
          <w:color w:val="2E74B5" w:themeColor="accent1" w:themeShade="BF"/>
        </w:rPr>
        <w:t xml:space="preserve"> </w:t>
      </w:r>
      <w:r w:rsidRPr="00733E3C">
        <w:rPr>
          <w:color w:val="2E74B5" w:themeColor="accent1" w:themeShade="BF"/>
        </w:rPr>
        <w:t>Humans</w:t>
      </w:r>
      <w:r>
        <w:rPr>
          <w:color w:val="2E74B5" w:themeColor="accent1" w:themeShade="BF"/>
        </w:rPr>
        <w:t xml:space="preserve"> </w:t>
      </w:r>
      <w:r w:rsidR="00DB2D6C">
        <w:rPr>
          <w:color w:val="2E74B5" w:themeColor="accent1" w:themeShade="BF"/>
        </w:rPr>
        <w:br/>
      </w:r>
      <w:r w:rsidR="00DB2D6C" w:rsidRPr="00DB2D6C">
        <w:t>Per contact acquisition risk based on Probability of human ARB acquisition during a contact with a colonized animal (figure below) but no rates/parameter values</w:t>
      </w:r>
      <w:r w:rsidR="00DB2D6C">
        <w:rPr>
          <w:color w:val="2E74B5" w:themeColor="accent1" w:themeShade="BF"/>
        </w:rPr>
        <w:t>.</w:t>
      </w:r>
      <w:r w:rsidR="00DB2D6C">
        <w:rPr>
          <w:color w:val="2E74B5" w:themeColor="accent1" w:themeShade="BF"/>
        </w:rPr>
        <w:br/>
      </w:r>
      <w:r w:rsidR="00DB2D6C">
        <w:rPr>
          <w:color w:val="2E74B5" w:themeColor="accent1" w:themeShade="BF"/>
        </w:rPr>
        <w:br/>
      </w:r>
      <w:r>
        <w:rPr>
          <w:color w:val="2E74B5" w:themeColor="accent1" w:themeShade="BF"/>
        </w:rPr>
        <w:t xml:space="preserve">     </w:t>
      </w:r>
      <w:r>
        <w:rPr>
          <w:noProof/>
          <w:lang w:val="fr-FR" w:eastAsia="fr-FR"/>
        </w:rPr>
        <w:drawing>
          <wp:inline distT="0" distB="0" distL="0" distR="0">
            <wp:extent cx="5008033" cy="2709372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act_occ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47" cy="271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6C" w:rsidRPr="00063F35" w:rsidRDefault="00DB2D6C" w:rsidP="00127C2E">
      <w:pPr>
        <w:pStyle w:val="Titre1"/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</w:pPr>
      <w:r w:rsidRPr="00DB2D6C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De Freitas Costa (2022) Multidirectional dynamic model for the spread of extended-spectrum-</w:t>
      </w:r>
      <w:r w:rsidRPr="00DB2D6C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</w:rPr>
        <w:t>β</w:t>
      </w:r>
      <w:r w:rsidRPr="00DB2D6C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-lactamase-producing </w:t>
      </w:r>
      <w:r w:rsidRPr="00DB2D6C">
        <w:rPr>
          <w:rStyle w:val="Accentuation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Escherichia coli</w:t>
      </w:r>
      <w:r w:rsidRPr="00DB2D6C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in the Netherlands</w:t>
      </w:r>
      <w:r>
        <w:rPr>
          <w:rStyle w:val="title-text"/>
          <w:rFonts w:asciiTheme="minorHAnsi" w:hAnsiTheme="minorHAnsi" w:cstheme="minorHAnsi"/>
          <w:b w:val="0"/>
          <w:sz w:val="22"/>
          <w:szCs w:val="22"/>
          <w:lang w:val="en-US"/>
        </w:rPr>
        <w:br/>
        <w:t>Risk of AMR colonization of Farmers from chickens using the probability of colonization</w:t>
      </w:r>
      <w:r w:rsidR="00063F35">
        <w:rPr>
          <w:rStyle w:val="title-text"/>
          <w:rFonts w:asciiTheme="minorHAnsi" w:hAnsiTheme="minorHAnsi" w:cstheme="minorHAnsi"/>
          <w:b w:val="0"/>
          <w:sz w:val="22"/>
          <w:szCs w:val="22"/>
          <w:lang w:val="en-US"/>
        </w:rPr>
        <w:t xml:space="preserve"> from the below paper.</w:t>
      </w:r>
    </w:p>
    <w:p w:rsidR="00322B08" w:rsidRPr="00063F35" w:rsidRDefault="00063F35" w:rsidP="00063F35">
      <w:pPr>
        <w:pStyle w:val="Titre1"/>
        <w:rPr>
          <w:rStyle w:val="title-text"/>
          <w:rFonts w:asciiTheme="minorHAnsi" w:hAnsiTheme="minorHAnsi" w:cstheme="minorHAnsi"/>
          <w:b w:val="0"/>
          <w:sz w:val="22"/>
          <w:szCs w:val="22"/>
          <w:lang w:val="en-US"/>
        </w:rPr>
      </w:pPr>
      <w:proofErr w:type="spellStart"/>
      <w:r w:rsidRPr="00063F35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Huijbers</w:t>
      </w:r>
      <w:proofErr w:type="spellEnd"/>
      <w:r w:rsidRPr="00063F35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et al. (2014) Extended-spectrum and </w:t>
      </w:r>
      <w:proofErr w:type="spellStart"/>
      <w:r w:rsidRPr="00063F35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AmpC</w:t>
      </w:r>
      <w:proofErr w:type="spellEnd"/>
      <w:r w:rsidRPr="00063F35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b-lactamase-producing Escherichia coli in broilers and people living and/or working on broiler farms: prevalence, risk factors and molecular characteristics</w:t>
      </w:r>
      <w:r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</w:t>
      </w:r>
      <w:r>
        <w:rPr>
          <w:rStyle w:val="title-text"/>
          <w:rFonts w:asciiTheme="minorHAnsi" w:hAnsiTheme="minorHAnsi" w:cstheme="minorHAnsi"/>
          <w:b w:val="0"/>
          <w:sz w:val="22"/>
          <w:szCs w:val="22"/>
          <w:lang w:val="en-US"/>
        </w:rPr>
        <w:t>Questionnaire sampling of farms to estimate the prevalence of different group of farmers/employees and study the relation of their respective exposure time/contact time to broilers.</w:t>
      </w:r>
    </w:p>
    <w:p w:rsidR="00063F35" w:rsidRDefault="00063F35" w:rsidP="00063F35">
      <w:pPr>
        <w:pStyle w:val="Titre1"/>
        <w:rPr>
          <w:rStyle w:val="title-text"/>
          <w:rFonts w:asciiTheme="minorHAnsi" w:hAnsiTheme="minorHAnsi" w:cstheme="minorHAnsi"/>
          <w:b w:val="0"/>
          <w:sz w:val="22"/>
          <w:szCs w:val="22"/>
          <w:lang w:val="en-US"/>
        </w:rPr>
      </w:pPr>
      <w:proofErr w:type="spellStart"/>
      <w:r w:rsidRPr="00127C2E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Hsuan</w:t>
      </w:r>
      <w:proofErr w:type="spellEnd"/>
      <w:r w:rsidRPr="00127C2E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-Lu et al. (2024) </w:t>
      </w:r>
      <w:r w:rsidRPr="00127C2E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One Health-based management for sustainably mitigating tetracycline-resistant </w:t>
      </w:r>
      <w:proofErr w:type="spellStart"/>
      <w:r w:rsidRPr="00127C2E">
        <w:rPr>
          <w:rStyle w:val="Accentuation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Aeromonas</w:t>
      </w:r>
      <w:proofErr w:type="spellEnd"/>
      <w:r w:rsidRPr="00127C2E">
        <w:rPr>
          <w:rStyle w:val="Accentuation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</w:t>
      </w:r>
      <w:proofErr w:type="spellStart"/>
      <w:r w:rsidRPr="00127C2E">
        <w:rPr>
          <w:rStyle w:val="Accentuation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hydrophila</w:t>
      </w:r>
      <w:proofErr w:type="spellEnd"/>
      <w:r w:rsidRPr="00127C2E"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-induced health risk</w:t>
      </w:r>
      <w:r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. </w:t>
      </w:r>
      <w:r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br/>
      </w:r>
      <w:r>
        <w:rPr>
          <w:rStyle w:val="title-text"/>
          <w:rFonts w:asciiTheme="minorHAnsi" w:hAnsiTheme="minorHAnsi" w:cstheme="minorHAnsi"/>
          <w:b w:val="0"/>
          <w:sz w:val="22"/>
          <w:szCs w:val="22"/>
          <w:lang w:val="en-US"/>
        </w:rPr>
        <w:t>QMRA with amount of water ingested for each step multiplied by Exposure Frequency (EF).</w:t>
      </w:r>
    </w:p>
    <w:p w:rsidR="004C302B" w:rsidRDefault="004C302B" w:rsidP="004C302B">
      <w:pPr>
        <w:pStyle w:val="Titre1"/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</w:pPr>
      <w:proofErr w:type="spellStart"/>
      <w:r w:rsidRPr="004C302B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Adhikari</w:t>
      </w:r>
      <w:proofErr w:type="spellEnd"/>
      <w:r w:rsidRPr="004C302B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et al. (2020) Quantitation of Risk Reduction of </w:t>
      </w:r>
      <w:r w:rsidRPr="004C302B">
        <w:rPr>
          <w:rStyle w:val="html-italic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E. coli</w:t>
      </w:r>
      <w:r w:rsidRPr="004C302B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Transmission after Using Antimicrobial Hand Soap</w:t>
      </w:r>
      <w:r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. </w:t>
      </w:r>
    </w:p>
    <w:p w:rsidR="00063F35" w:rsidRPr="005F2AC7" w:rsidRDefault="004C302B" w:rsidP="005F2AC7">
      <w:pPr>
        <w:pStyle w:val="Titre1"/>
        <w:jc w:val="center"/>
        <w:rPr>
          <w:rStyle w:val="title-text"/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8DF26CA" wp14:editId="70454B18">
            <wp:extent cx="2840567" cy="166075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370" cy="169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04" w:rsidRDefault="00B32004" w:rsidP="00B32004">
      <w:p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 xml:space="preserve">Chen et al. (2001) </w:t>
      </w:r>
      <w:r w:rsidRPr="00B32004">
        <w:rPr>
          <w:color w:val="2E74B5" w:themeColor="accent1" w:themeShade="BF"/>
        </w:rPr>
        <w:t>Quanti</w:t>
      </w:r>
      <w:r>
        <w:rPr>
          <w:rFonts w:ascii="Calibri" w:hAnsi="Calibri" w:cs="Calibri"/>
          <w:color w:val="2E74B5" w:themeColor="accent1" w:themeShade="BF"/>
        </w:rPr>
        <w:t>fi</w:t>
      </w:r>
      <w:r w:rsidRPr="00B32004">
        <w:rPr>
          <w:color w:val="2E74B5" w:themeColor="accent1" w:themeShade="BF"/>
        </w:rPr>
        <w:t>cation and Va</w:t>
      </w:r>
      <w:r>
        <w:rPr>
          <w:color w:val="2E74B5" w:themeColor="accent1" w:themeShade="BF"/>
        </w:rPr>
        <w:t xml:space="preserve">riability Analysis of Bacterial </w:t>
      </w:r>
      <w:r w:rsidRPr="00B32004">
        <w:rPr>
          <w:color w:val="2E74B5" w:themeColor="accent1" w:themeShade="BF"/>
        </w:rPr>
        <w:t>Cross-Contam</w:t>
      </w:r>
      <w:r>
        <w:rPr>
          <w:color w:val="2E74B5" w:themeColor="accent1" w:themeShade="BF"/>
        </w:rPr>
        <w:t xml:space="preserve">ination Rates in Common </w:t>
      </w:r>
      <w:r w:rsidRPr="00B32004">
        <w:rPr>
          <w:color w:val="2E74B5" w:themeColor="accent1" w:themeShade="BF"/>
        </w:rPr>
        <w:t>Food Service Tasks</w:t>
      </w:r>
      <w:r>
        <w:rPr>
          <w:color w:val="2E74B5" w:themeColor="accent1" w:themeShade="BF"/>
        </w:rPr>
        <w:t xml:space="preserve"> </w:t>
      </w:r>
      <w:r w:rsidRPr="00B32004">
        <w:t xml:space="preserve">Transfer rate from </w:t>
      </w:r>
      <w:r>
        <w:t>chicken to finger tips</w:t>
      </w:r>
      <w:r w:rsidR="008C2698">
        <w:t>: the normal distributions in log percent transfer r</w:t>
      </w:r>
      <w:r w:rsidR="00FE2C0A">
        <w:t>ate from chicken to hand (0.94 +-</w:t>
      </w:r>
      <w:r w:rsidR="008C2698">
        <w:t xml:space="preserve"> 0.68)</w:t>
      </w:r>
      <w:r w:rsidR="000C5B9E">
        <w:t>. These turns out to be lognormal parameters.</w:t>
      </w:r>
    </w:p>
    <w:p w:rsidR="00734A66" w:rsidRPr="00734A66" w:rsidRDefault="00734A66" w:rsidP="00734A66">
      <w:pPr>
        <w:pStyle w:val="Titre1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734A66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Lopez et al. (2013) Transfer Efficiency of Bacteria and Viruses from </w:t>
      </w:r>
      <w:r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Porous and Nonporous Fomites </w:t>
      </w:r>
      <w:r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br/>
        <w:t xml:space="preserve">to </w:t>
      </w:r>
      <w:r w:rsidRPr="00734A66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Fingers under Different Relative Humidity Conditions</w:t>
      </w:r>
      <w:r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</w:t>
      </w:r>
      <w:r w:rsidRPr="00734A66">
        <w:rPr>
          <w:rFonts w:asciiTheme="minorHAnsi" w:hAnsiTheme="minorHAnsi" w:cstheme="minorHAnsi"/>
          <w:b w:val="0"/>
          <w:sz w:val="22"/>
          <w:szCs w:val="22"/>
          <w:lang w:val="en-US"/>
        </w:rPr>
        <w:t>Transfer rate form cutting board/knife to finger tips</w:t>
      </w:r>
    </w:p>
    <w:p w:rsidR="00127C2E" w:rsidRDefault="00B32004" w:rsidP="00B32004">
      <w:r w:rsidRPr="00B32004">
        <w:rPr>
          <w:color w:val="2E74B5" w:themeColor="accent1" w:themeShade="BF"/>
        </w:rPr>
        <w:t>Gibson et al. (2002) Quantitative assessment of risk reduction from hand washing with antibacterial soaps</w:t>
      </w:r>
      <w:r>
        <w:rPr>
          <w:color w:val="2E74B5" w:themeColor="accent1" w:themeShade="BF"/>
        </w:rPr>
        <w:t xml:space="preserve"> </w:t>
      </w:r>
      <w:r w:rsidRPr="00B32004">
        <w:t xml:space="preserve">Transfer rate from </w:t>
      </w:r>
      <w:proofErr w:type="gramStart"/>
      <w:r w:rsidRPr="00B32004">
        <w:t>finger</w:t>
      </w:r>
      <w:r>
        <w:t xml:space="preserve"> tips</w:t>
      </w:r>
      <w:proofErr w:type="gramEnd"/>
      <w:r w:rsidRPr="00B32004">
        <w:t xml:space="preserve"> to lips</w:t>
      </w:r>
    </w:p>
    <w:p w:rsidR="00734A66" w:rsidRDefault="00A837F9" w:rsidP="00A837F9">
      <w:proofErr w:type="spellStart"/>
      <w:r>
        <w:rPr>
          <w:color w:val="2E74B5" w:themeColor="accent1" w:themeShade="BF"/>
        </w:rPr>
        <w:t>Depoorter</w:t>
      </w:r>
      <w:proofErr w:type="spellEnd"/>
      <w:r>
        <w:rPr>
          <w:color w:val="2E74B5" w:themeColor="accent1" w:themeShade="BF"/>
        </w:rPr>
        <w:t xml:space="preserve"> et al. (2012) </w:t>
      </w:r>
      <w:r w:rsidRPr="00A837F9">
        <w:rPr>
          <w:color w:val="2E74B5" w:themeColor="accent1" w:themeShade="BF"/>
        </w:rPr>
        <w:t xml:space="preserve">Assessment of human exposure to 3rd generation </w:t>
      </w:r>
      <w:r>
        <w:rPr>
          <w:color w:val="2E74B5" w:themeColor="accent1" w:themeShade="BF"/>
        </w:rPr>
        <w:t xml:space="preserve">cephalosporin resistant E. coli </w:t>
      </w:r>
      <w:r w:rsidRPr="00A837F9">
        <w:rPr>
          <w:color w:val="2E74B5" w:themeColor="accent1" w:themeShade="BF"/>
        </w:rPr>
        <w:t>(CREC) through consumption of broiler meat in Belgium</w:t>
      </w:r>
      <w:r>
        <w:rPr>
          <w:color w:val="2E74B5" w:themeColor="accent1" w:themeShade="BF"/>
        </w:rPr>
        <w:t xml:space="preserve"> </w:t>
      </w:r>
      <w:r w:rsidRPr="00A837F9">
        <w:t>Q</w:t>
      </w:r>
      <w:r>
        <w:t>MRA farm to fork, with meat to hand transfer rate from the following paper</w:t>
      </w:r>
      <w:r w:rsidR="006E01D4">
        <w:t xml:space="preserve">, assuming </w:t>
      </w:r>
      <w:r w:rsidR="006E01D4">
        <w:rPr>
          <w:i/>
        </w:rPr>
        <w:t xml:space="preserve">Salmonella </w:t>
      </w:r>
      <w:r w:rsidR="006E01D4">
        <w:t xml:space="preserve">and </w:t>
      </w:r>
      <w:r w:rsidR="006E01D4">
        <w:rPr>
          <w:i/>
        </w:rPr>
        <w:t>E. coli</w:t>
      </w:r>
      <w:r w:rsidR="006E01D4">
        <w:t xml:space="preserve"> has same attaching </w:t>
      </w:r>
      <w:r w:rsidR="00054FF5">
        <w:t>properties</w:t>
      </w:r>
    </w:p>
    <w:p w:rsidR="00054FF5" w:rsidRDefault="00E01E20" w:rsidP="00E01E20">
      <w:pPr>
        <w:rPr>
          <w:color w:val="000000" w:themeColor="text1"/>
        </w:rPr>
      </w:pPr>
      <w:r w:rsidRPr="00E01E20">
        <w:rPr>
          <w:color w:val="2E74B5" w:themeColor="accent1" w:themeShade="BF"/>
        </w:rPr>
        <w:t>Montville et al. (2000) Glove barriers to bacterial cross-contamination between hands to food</w:t>
      </w:r>
      <w:r>
        <w:rPr>
          <w:color w:val="2E74B5" w:themeColor="accent1" w:themeShade="BF"/>
        </w:rPr>
        <w:t xml:space="preserve"> </w:t>
      </w:r>
      <w:r w:rsidRPr="00E01E20">
        <w:rPr>
          <w:color w:val="000000" w:themeColor="text1"/>
        </w:rPr>
        <w:t xml:space="preserve">chicken to hand </w:t>
      </w:r>
      <w:r w:rsidR="009715CA">
        <w:rPr>
          <w:color w:val="000000" w:themeColor="text1"/>
        </w:rPr>
        <w:t xml:space="preserve">transfer rate </w:t>
      </w:r>
      <w:r w:rsidR="003B7363">
        <w:rPr>
          <w:color w:val="000000" w:themeColor="text1"/>
        </w:rPr>
        <w:t xml:space="preserve">(%) </w:t>
      </w:r>
      <w:r w:rsidRPr="00E01E20">
        <w:rPr>
          <w:color w:val="000000" w:themeColor="text1"/>
        </w:rPr>
        <w:t xml:space="preserve">through </w:t>
      </w:r>
      <w:r w:rsidR="00D657C4">
        <w:rPr>
          <w:color w:val="000000" w:themeColor="text1"/>
        </w:rPr>
        <w:t>gloves, gamma (5.91, 0.40, -5</w:t>
      </w:r>
      <w:r w:rsidRPr="00E01E20">
        <w:rPr>
          <w:color w:val="000000" w:themeColor="text1"/>
        </w:rPr>
        <w:t>)</w:t>
      </w:r>
      <w:r w:rsidR="00CE7659">
        <w:rPr>
          <w:color w:val="000000" w:themeColor="text1"/>
        </w:rPr>
        <w:t xml:space="preserve"> </w:t>
      </w:r>
      <w:r w:rsidR="00F97A59">
        <w:rPr>
          <w:color w:val="000000" w:themeColor="text1"/>
        </w:rPr>
        <w:t>and c</w:t>
      </w:r>
      <w:r w:rsidR="00F97A59" w:rsidRPr="00F97A59">
        <w:rPr>
          <w:color w:val="000000" w:themeColor="text1"/>
        </w:rPr>
        <w:t xml:space="preserve">hicken to bare hand, normal (0.71, 0.42); </w:t>
      </w:r>
      <w:r w:rsidR="00CE7659">
        <w:rPr>
          <w:color w:val="000000" w:themeColor="text1"/>
        </w:rPr>
        <w:t xml:space="preserve">for </w:t>
      </w:r>
      <w:r w:rsidR="00CE7659">
        <w:rPr>
          <w:i/>
          <w:color w:val="000000" w:themeColor="text1"/>
        </w:rPr>
        <w:t xml:space="preserve">Salmonella </w:t>
      </w:r>
      <w:r w:rsidR="00CE7659" w:rsidRPr="00CE7659">
        <w:rPr>
          <w:color w:val="000000" w:themeColor="text1"/>
        </w:rPr>
        <w:t>substitute</w:t>
      </w:r>
    </w:p>
    <w:p w:rsidR="00C71EA4" w:rsidRDefault="00C71EA4" w:rsidP="00C71EA4">
      <w:pPr>
        <w:rPr>
          <w:color w:val="000000" w:themeColor="text1"/>
        </w:rPr>
      </w:pPr>
      <w:proofErr w:type="spellStart"/>
      <w:r w:rsidRPr="00C71EA4">
        <w:rPr>
          <w:color w:val="2E74B5" w:themeColor="accent1" w:themeShade="BF"/>
        </w:rPr>
        <w:t>Leonas</w:t>
      </w:r>
      <w:proofErr w:type="spellEnd"/>
      <w:r w:rsidRPr="00C71EA4">
        <w:rPr>
          <w:color w:val="2E74B5" w:themeColor="accent1" w:themeShade="BF"/>
        </w:rPr>
        <w:t xml:space="preserve"> et al. (2003) The Relationship of Fabric Properties and Bacterial Filtration Efficiency for Selected Surgical Face Masks </w:t>
      </w:r>
      <w:r>
        <w:rPr>
          <w:color w:val="000000" w:themeColor="text1"/>
        </w:rPr>
        <w:t xml:space="preserve">Average over the 6 different Bacterial Filtration Efficiency (BFT) was used as the </w:t>
      </w:r>
      <w:proofErr w:type="spellStart"/>
      <w:r>
        <w:rPr>
          <w:color w:val="000000" w:themeColor="text1"/>
        </w:rPr>
        <w:t>q_mask</w:t>
      </w:r>
      <w:proofErr w:type="spellEnd"/>
      <w:r>
        <w:rPr>
          <w:color w:val="000000" w:themeColor="text1"/>
        </w:rPr>
        <w:t xml:space="preserve"> parameter in the model</w:t>
      </w:r>
    </w:p>
    <w:p w:rsidR="00727877" w:rsidRPr="00272575" w:rsidRDefault="00727877" w:rsidP="00727877">
      <w:pPr>
        <w:pStyle w:val="Titre1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727877"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>King et al. (2020) Bacterial transfer to fingertips during sequential surface contacts with and without gloves</w:t>
      </w:r>
      <w:r>
        <w:rPr>
          <w:rFonts w:asciiTheme="minorHAnsi" w:hAnsiTheme="minorHAnsi" w:cstheme="minorHAnsi"/>
          <w:b w:val="0"/>
          <w:color w:val="2E74B5" w:themeColor="accent1" w:themeShade="BF"/>
          <w:sz w:val="22"/>
          <w:szCs w:val="22"/>
          <w:lang w:val="en-US"/>
        </w:rPr>
        <w:t xml:space="preserve"> </w:t>
      </w:r>
      <w:r w:rsidR="00272575" w:rsidRPr="00272575">
        <w:rPr>
          <w:rFonts w:asciiTheme="minorHAnsi" w:hAnsiTheme="minorHAnsi" w:cstheme="minorHAnsi"/>
          <w:b w:val="0"/>
          <w:sz w:val="22"/>
          <w:szCs w:val="22"/>
          <w:lang w:val="en-US"/>
        </w:rPr>
        <w:t>Although previous studies have investigated the transfer efficiency of various microorganisms during a single contact from fomite to finger</w:t>
      </w:r>
      <w:hyperlink r:id="rId9" w:anchor="ina12682-bib-0018" w:history="1">
        <w:r w:rsidR="00272575" w:rsidRPr="00272575">
          <w:rPr>
            <w:rStyle w:val="Lienhypertexte"/>
            <w:rFonts w:asciiTheme="minorHAnsi" w:hAnsiTheme="minorHAnsi" w:cstheme="minorHAnsi"/>
            <w:b w:val="0"/>
            <w:sz w:val="22"/>
            <w:szCs w:val="22"/>
            <w:vertAlign w:val="superscript"/>
            <w:lang w:val="en-US"/>
          </w:rPr>
          <w:t>18</w:t>
        </w:r>
      </w:hyperlink>
      <w:r w:rsidR="00272575" w:rsidRPr="00272575">
        <w:rPr>
          <w:rFonts w:asciiTheme="minorHAnsi" w:hAnsiTheme="minorHAnsi" w:cstheme="minorHAnsi"/>
          <w:b w:val="0"/>
          <w:sz w:val="22"/>
          <w:szCs w:val="22"/>
          <w:vertAlign w:val="superscript"/>
          <w:lang w:val="en-US"/>
        </w:rPr>
        <w:t xml:space="preserve">, </w:t>
      </w:r>
      <w:hyperlink r:id="rId10" w:anchor="ina12682-bib-0019" w:history="1">
        <w:r w:rsidR="00272575" w:rsidRPr="00272575">
          <w:rPr>
            <w:rStyle w:val="Lienhypertexte"/>
            <w:rFonts w:asciiTheme="minorHAnsi" w:hAnsiTheme="minorHAnsi" w:cstheme="minorHAnsi"/>
            <w:b w:val="0"/>
            <w:sz w:val="22"/>
            <w:szCs w:val="22"/>
            <w:vertAlign w:val="superscript"/>
            <w:lang w:val="en-US"/>
          </w:rPr>
          <w:t>19</w:t>
        </w:r>
      </w:hyperlink>
      <w:r w:rsidR="00272575" w:rsidRPr="00272575">
        <w:rPr>
          <w:rFonts w:asciiTheme="minorHAnsi" w:hAnsiTheme="minorHAnsi" w:cstheme="minorHAnsi"/>
          <w:b w:val="0"/>
          <w:sz w:val="22"/>
          <w:szCs w:val="22"/>
          <w:vertAlign w:val="superscript"/>
          <w:lang w:val="en-US"/>
        </w:rPr>
        <w:t xml:space="preserve">, </w:t>
      </w:r>
      <w:hyperlink r:id="rId11" w:anchor="ina12682-bib-0023" w:history="1">
        <w:r w:rsidR="00272575" w:rsidRPr="00272575">
          <w:rPr>
            <w:rStyle w:val="Lienhypertexte"/>
            <w:rFonts w:asciiTheme="minorHAnsi" w:hAnsiTheme="minorHAnsi" w:cstheme="minorHAnsi"/>
            <w:b w:val="0"/>
            <w:sz w:val="22"/>
            <w:szCs w:val="22"/>
            <w:vertAlign w:val="superscript"/>
            <w:lang w:val="en-US"/>
          </w:rPr>
          <w:t>23</w:t>
        </w:r>
      </w:hyperlink>
      <w:r w:rsidR="00272575" w:rsidRPr="00272575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and finger to fomite,</w:t>
      </w:r>
      <w:hyperlink r:id="rId12" w:anchor="ina12682-bib-0023" w:history="1">
        <w:r w:rsidR="00272575" w:rsidRPr="00272575">
          <w:rPr>
            <w:rStyle w:val="Lienhypertexte"/>
            <w:rFonts w:asciiTheme="minorHAnsi" w:hAnsiTheme="minorHAnsi" w:cstheme="minorHAnsi"/>
            <w:b w:val="0"/>
            <w:sz w:val="22"/>
            <w:szCs w:val="22"/>
            <w:vertAlign w:val="superscript"/>
            <w:lang w:val="en-US"/>
          </w:rPr>
          <w:t>23</w:t>
        </w:r>
      </w:hyperlink>
      <w:r w:rsidR="00272575" w:rsidRPr="00272575">
        <w:rPr>
          <w:rFonts w:asciiTheme="minorHAnsi" w:hAnsiTheme="minorHAnsi" w:cstheme="minorHAnsi"/>
          <w:b w:val="0"/>
          <w:sz w:val="22"/>
          <w:szCs w:val="22"/>
          <w:vertAlign w:val="superscript"/>
          <w:lang w:val="en-US"/>
        </w:rPr>
        <w:t>-</w:t>
      </w:r>
      <w:hyperlink r:id="rId13" w:anchor="ina12682-bib-0025" w:history="1">
        <w:r w:rsidR="00272575" w:rsidRPr="00272575">
          <w:rPr>
            <w:rStyle w:val="Lienhypertexte"/>
            <w:rFonts w:asciiTheme="minorHAnsi" w:hAnsiTheme="minorHAnsi" w:cstheme="minorHAnsi"/>
            <w:b w:val="0"/>
            <w:sz w:val="22"/>
            <w:szCs w:val="22"/>
            <w:vertAlign w:val="superscript"/>
            <w:lang w:val="en-US"/>
          </w:rPr>
          <w:t>25</w:t>
        </w:r>
      </w:hyperlink>
      <w:r w:rsidR="00272575" w:rsidRPr="00272575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only a small number of studies have considered more than one surface contact.</w:t>
      </w:r>
      <w:hyperlink r:id="rId14" w:anchor="ina12682-bib-0021" w:history="1">
        <w:r w:rsidR="00272575" w:rsidRPr="00272575">
          <w:rPr>
            <w:rStyle w:val="Lienhypertexte"/>
            <w:rFonts w:asciiTheme="minorHAnsi" w:hAnsiTheme="minorHAnsi" w:cstheme="minorHAnsi"/>
            <w:b w:val="0"/>
            <w:sz w:val="22"/>
            <w:szCs w:val="22"/>
            <w:vertAlign w:val="superscript"/>
            <w:lang w:val="en-US"/>
          </w:rPr>
          <w:t>21</w:t>
        </w:r>
      </w:hyperlink>
      <w:r w:rsidR="00272575" w:rsidRPr="00272575">
        <w:rPr>
          <w:rFonts w:asciiTheme="minorHAnsi" w:hAnsiTheme="minorHAnsi" w:cstheme="minorHAnsi"/>
          <w:b w:val="0"/>
          <w:sz w:val="22"/>
          <w:szCs w:val="22"/>
          <w:vertAlign w:val="superscript"/>
          <w:lang w:val="en-US"/>
        </w:rPr>
        <w:t xml:space="preserve">, </w:t>
      </w:r>
      <w:hyperlink r:id="rId15" w:anchor="ina12682-bib-0026" w:history="1">
        <w:r w:rsidR="00272575" w:rsidRPr="00272575">
          <w:rPr>
            <w:rStyle w:val="Lienhypertexte"/>
            <w:rFonts w:asciiTheme="minorHAnsi" w:hAnsiTheme="minorHAnsi" w:cstheme="minorHAnsi"/>
            <w:b w:val="0"/>
            <w:sz w:val="22"/>
            <w:szCs w:val="22"/>
            <w:vertAlign w:val="superscript"/>
            <w:lang w:val="en-US"/>
          </w:rPr>
          <w:t>26</w:t>
        </w:r>
      </w:hyperlink>
      <w:r w:rsidR="00272575" w:rsidRPr="00272575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Repeated contact with a surface covered in fluorescent powder shows that skin became saturated after six contacts</w:t>
      </w:r>
      <w:proofErr w:type="gramStart"/>
      <w:r w:rsidR="00272575" w:rsidRPr="00272575">
        <w:rPr>
          <w:rFonts w:asciiTheme="minorHAnsi" w:hAnsiTheme="minorHAnsi" w:cstheme="minorHAnsi"/>
          <w:b w:val="0"/>
          <w:sz w:val="22"/>
          <w:szCs w:val="22"/>
          <w:lang w:val="en-US"/>
        </w:rPr>
        <w:t>,</w:t>
      </w:r>
      <w:proofErr w:type="gramEnd"/>
      <w:r w:rsidR="00A40C4C">
        <w:fldChar w:fldCharType="begin"/>
      </w:r>
      <w:r w:rsidR="00A40C4C" w:rsidRPr="00304AAF">
        <w:rPr>
          <w:lang w:val="en-US"/>
        </w:rPr>
        <w:instrText xml:space="preserve"> HYPERLINK "https://onlinelibrar</w:instrText>
      </w:r>
      <w:r w:rsidR="00A40C4C" w:rsidRPr="00304AAF">
        <w:rPr>
          <w:lang w:val="en-US"/>
        </w:rPr>
        <w:instrText xml:space="preserve">y.wiley.com/doi/full/10.1111/ina.12682" \l "ina12682-bib-0027" </w:instrText>
      </w:r>
      <w:r w:rsidR="00A40C4C">
        <w:fldChar w:fldCharType="separate"/>
      </w:r>
      <w:r w:rsidR="00272575" w:rsidRPr="00272575">
        <w:rPr>
          <w:rStyle w:val="Lienhypertexte"/>
          <w:rFonts w:asciiTheme="minorHAnsi" w:hAnsiTheme="minorHAnsi" w:cstheme="minorHAnsi"/>
          <w:b w:val="0"/>
          <w:sz w:val="22"/>
          <w:szCs w:val="22"/>
          <w:vertAlign w:val="superscript"/>
          <w:lang w:val="en-US"/>
        </w:rPr>
        <w:t>27</w:t>
      </w:r>
      <w:r w:rsidR="00A40C4C">
        <w:rPr>
          <w:rStyle w:val="Lienhypertexte"/>
          <w:rFonts w:asciiTheme="minorHAnsi" w:hAnsiTheme="minorHAnsi" w:cstheme="minorHAnsi"/>
          <w:b w:val="0"/>
          <w:sz w:val="22"/>
          <w:szCs w:val="22"/>
          <w:vertAlign w:val="superscript"/>
          <w:lang w:val="en-US"/>
        </w:rPr>
        <w:fldChar w:fldCharType="end"/>
      </w:r>
      <w:r w:rsidR="00272575" w:rsidRPr="00272575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while a separate study using fluorescent particles found an equilibrium after five contacts.</w:t>
      </w:r>
    </w:p>
    <w:p w:rsidR="00727877" w:rsidRPr="002E55BB" w:rsidRDefault="00A03113" w:rsidP="002E55BB">
      <w:r w:rsidRPr="00A03113">
        <w:rPr>
          <w:color w:val="2E74B5" w:themeColor="accent1" w:themeShade="BF"/>
        </w:rPr>
        <w:t xml:space="preserve">Julian et al. (2009) A Model of Exposure to Rotavirus from </w:t>
      </w:r>
      <w:proofErr w:type="spellStart"/>
      <w:r w:rsidRPr="00A03113">
        <w:rPr>
          <w:color w:val="2E74B5" w:themeColor="accent1" w:themeShade="BF"/>
        </w:rPr>
        <w:t>Nondietary</w:t>
      </w:r>
      <w:proofErr w:type="spellEnd"/>
      <w:r w:rsidRPr="00A03113">
        <w:rPr>
          <w:color w:val="2E74B5" w:themeColor="accent1" w:themeShade="BF"/>
        </w:rPr>
        <w:t xml:space="preserve"> Ingestion Iterated by Simulated Intermittent Contacts</w:t>
      </w:r>
      <w:r>
        <w:rPr>
          <w:color w:val="2E74B5" w:themeColor="accent1" w:themeShade="BF"/>
        </w:rPr>
        <w:t xml:space="preserve"> </w:t>
      </w:r>
      <w:r w:rsidR="002E55BB" w:rsidRPr="002E55BB">
        <w:t xml:space="preserve">stochastic-mechanistic model of exposure to rotavirus from </w:t>
      </w:r>
      <w:proofErr w:type="spellStart"/>
      <w:r w:rsidR="002E55BB" w:rsidRPr="002E55BB">
        <w:t>nondietary</w:t>
      </w:r>
      <w:proofErr w:type="spellEnd"/>
      <w:r w:rsidR="002E55BB" w:rsidRPr="002E55BB">
        <w:t xml:space="preserve"> ingestion iterated by simulated intermittent </w:t>
      </w:r>
      <w:proofErr w:type="spellStart"/>
      <w:r w:rsidR="002E55BB" w:rsidRPr="002E55BB">
        <w:t>fomes</w:t>
      </w:r>
      <w:proofErr w:type="spellEnd"/>
      <w:r w:rsidR="002E55BB" w:rsidRPr="002E55BB">
        <w:t>-mouth, hand-mouth, and hand-</w:t>
      </w:r>
      <w:proofErr w:type="spellStart"/>
      <w:r w:rsidR="002E55BB" w:rsidRPr="002E55BB">
        <w:t>fomes</w:t>
      </w:r>
      <w:proofErr w:type="spellEnd"/>
      <w:r w:rsidR="002E55BB" w:rsidRPr="002E55BB">
        <w:t xml:space="preserve"> contacts typical of a child</w:t>
      </w:r>
    </w:p>
    <w:p w:rsidR="001D4710" w:rsidRPr="001D115E" w:rsidRDefault="00A40C4C" w:rsidP="001D4710">
      <w:pPr>
        <w:pStyle w:val="Titre3"/>
        <w:rPr>
          <w:rFonts w:asciiTheme="minorHAnsi" w:hAnsiTheme="minorHAnsi" w:cstheme="minorHAnsi"/>
          <w:color w:val="auto"/>
          <w:sz w:val="22"/>
        </w:rPr>
      </w:pPr>
      <w:hyperlink r:id="rId16" w:history="1">
        <w:r w:rsidR="001D4710">
          <w:rPr>
            <w:rStyle w:val="Lienhypertexte"/>
          </w:rPr>
          <w:t>An Examination of Broiler Growth</w:t>
        </w:r>
      </w:hyperlink>
      <w:r w:rsidR="001D115E">
        <w:t xml:space="preserve"> </w:t>
      </w:r>
      <w:r w:rsidR="001D115E" w:rsidRPr="001D115E">
        <w:rPr>
          <w:rFonts w:asciiTheme="minorHAnsi" w:hAnsiTheme="minorHAnsi" w:cstheme="minorHAnsi"/>
          <w:color w:val="auto"/>
          <w:sz w:val="22"/>
        </w:rPr>
        <w:t xml:space="preserve">gives the constant for the </w:t>
      </w:r>
      <w:proofErr w:type="spellStart"/>
      <w:r w:rsidR="001D115E" w:rsidRPr="001D115E">
        <w:rPr>
          <w:rFonts w:asciiTheme="minorHAnsi" w:hAnsiTheme="minorHAnsi" w:cstheme="minorHAnsi"/>
          <w:color w:val="auto"/>
          <w:sz w:val="22"/>
        </w:rPr>
        <w:t>Meeh’s</w:t>
      </w:r>
      <w:proofErr w:type="spellEnd"/>
      <w:r w:rsidR="001D115E" w:rsidRPr="001D115E">
        <w:rPr>
          <w:rFonts w:asciiTheme="minorHAnsi" w:hAnsiTheme="minorHAnsi" w:cstheme="minorHAnsi"/>
          <w:color w:val="auto"/>
          <w:sz w:val="22"/>
        </w:rPr>
        <w:t xml:space="preserve"> formula used to compute the broilers surface area from its weight.</w:t>
      </w:r>
    </w:p>
    <w:p w:rsidR="00C71EA4" w:rsidRDefault="00C71EA4" w:rsidP="00E01E20">
      <w:pPr>
        <w:rPr>
          <w:color w:val="000000" w:themeColor="text1"/>
        </w:rPr>
      </w:pPr>
    </w:p>
    <w:p w:rsidR="00304AAF" w:rsidRDefault="00304AAF" w:rsidP="00E01E20">
      <w:pPr>
        <w:rPr>
          <w:color w:val="000000" w:themeColor="text1"/>
        </w:rPr>
      </w:pPr>
      <w:r>
        <w:rPr>
          <w:color w:val="000000" w:themeColor="text1"/>
        </w:rPr>
        <w:t>Explanation of ECDF at hanging stage:</w:t>
      </w:r>
    </w:p>
    <w:p w:rsidR="00304AAF" w:rsidRPr="001D4710" w:rsidRDefault="00304AAF" w:rsidP="00E01E20">
      <w:pPr>
        <w:rPr>
          <w:color w:val="000000" w:themeColor="text1"/>
        </w:rPr>
      </w:pPr>
      <w:r>
        <w:rPr>
          <w:color w:val="000000" w:themeColor="text1"/>
        </w:rPr>
        <w:t xml:space="preserve">For hanging </w:t>
      </w:r>
      <w:proofErr w:type="gramStart"/>
      <w:r>
        <w:rPr>
          <w:color w:val="000000" w:themeColor="text1"/>
        </w:rPr>
        <w:t>stage</w:t>
      </w:r>
      <w:proofErr w:type="gramEnd"/>
      <w:r>
        <w:rPr>
          <w:color w:val="000000" w:themeColor="text1"/>
        </w:rPr>
        <w:t xml:space="preserve"> we use the foodborne module output </w:t>
      </w:r>
      <w:proofErr w:type="spellStart"/>
      <w:r>
        <w:rPr>
          <w:color w:val="000000" w:themeColor="text1"/>
        </w:rPr>
        <w:t>C_prod</w:t>
      </w:r>
      <w:proofErr w:type="spellEnd"/>
      <w:r>
        <w:rPr>
          <w:color w:val="000000" w:themeColor="text1"/>
        </w:rPr>
        <w:t xml:space="preserve"> as the concentration on the birds</w:t>
      </w:r>
      <w:r w:rsidR="00A40C4C">
        <w:rPr>
          <w:color w:val="000000" w:themeColor="text1"/>
        </w:rPr>
        <w:t xml:space="preserve">. The sudden peak is due to very low </w:t>
      </w:r>
      <w:proofErr w:type="spellStart"/>
      <w:r w:rsidR="00A40C4C">
        <w:rPr>
          <w:color w:val="000000" w:themeColor="text1"/>
        </w:rPr>
        <w:t>sd</w:t>
      </w:r>
      <w:proofErr w:type="spellEnd"/>
      <w:r w:rsidR="00A40C4C">
        <w:rPr>
          <w:color w:val="000000" w:themeColor="text1"/>
        </w:rPr>
        <w:t xml:space="preserve"> for the </w:t>
      </w:r>
      <w:proofErr w:type="spellStart"/>
      <w:r w:rsidR="00A40C4C">
        <w:rPr>
          <w:color w:val="000000" w:themeColor="text1"/>
        </w:rPr>
        <w:t>negatve</w:t>
      </w:r>
      <w:proofErr w:type="spellEnd"/>
      <w:r w:rsidR="00A40C4C">
        <w:rPr>
          <w:color w:val="000000" w:themeColor="text1"/>
        </w:rPr>
        <w:t xml:space="preserve"> flocks.</w:t>
      </w:r>
      <w:bookmarkStart w:id="0" w:name="_GoBack"/>
      <w:bookmarkEnd w:id="0"/>
      <w:r>
        <w:rPr>
          <w:color w:val="000000" w:themeColor="text1"/>
        </w:rPr>
        <w:t xml:space="preserve">  </w:t>
      </w:r>
    </w:p>
    <w:sectPr w:rsidR="00304AAF" w:rsidRPr="001D4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13"/>
    <w:rsid w:val="0000202D"/>
    <w:rsid w:val="00054FF5"/>
    <w:rsid w:val="00063F35"/>
    <w:rsid w:val="00073C90"/>
    <w:rsid w:val="000A1E6B"/>
    <w:rsid w:val="000C5B9E"/>
    <w:rsid w:val="00104F54"/>
    <w:rsid w:val="00127C2E"/>
    <w:rsid w:val="001D115E"/>
    <w:rsid w:val="001D4710"/>
    <w:rsid w:val="002013A7"/>
    <w:rsid w:val="00272575"/>
    <w:rsid w:val="002B522D"/>
    <w:rsid w:val="002E55BB"/>
    <w:rsid w:val="002F141C"/>
    <w:rsid w:val="00304AAF"/>
    <w:rsid w:val="00322B08"/>
    <w:rsid w:val="00361E10"/>
    <w:rsid w:val="003B7363"/>
    <w:rsid w:val="003C5770"/>
    <w:rsid w:val="00446FF7"/>
    <w:rsid w:val="00454F37"/>
    <w:rsid w:val="004560D6"/>
    <w:rsid w:val="00465600"/>
    <w:rsid w:val="004C302B"/>
    <w:rsid w:val="005326DD"/>
    <w:rsid w:val="00572713"/>
    <w:rsid w:val="00582160"/>
    <w:rsid w:val="005974E9"/>
    <w:rsid w:val="005A7B09"/>
    <w:rsid w:val="005E2615"/>
    <w:rsid w:val="005F2AC7"/>
    <w:rsid w:val="005F4652"/>
    <w:rsid w:val="00616F9F"/>
    <w:rsid w:val="00652EB5"/>
    <w:rsid w:val="00674543"/>
    <w:rsid w:val="0067708D"/>
    <w:rsid w:val="0068052A"/>
    <w:rsid w:val="006D52D2"/>
    <w:rsid w:val="006E01D4"/>
    <w:rsid w:val="006E647D"/>
    <w:rsid w:val="00703762"/>
    <w:rsid w:val="0070423B"/>
    <w:rsid w:val="00727877"/>
    <w:rsid w:val="00733E3C"/>
    <w:rsid w:val="00734A66"/>
    <w:rsid w:val="00752240"/>
    <w:rsid w:val="0075605E"/>
    <w:rsid w:val="007A0803"/>
    <w:rsid w:val="007C38B5"/>
    <w:rsid w:val="007F6679"/>
    <w:rsid w:val="008252DB"/>
    <w:rsid w:val="008B3B03"/>
    <w:rsid w:val="008C2698"/>
    <w:rsid w:val="008D5301"/>
    <w:rsid w:val="0092465B"/>
    <w:rsid w:val="009510A3"/>
    <w:rsid w:val="009517C2"/>
    <w:rsid w:val="009715CA"/>
    <w:rsid w:val="0097414D"/>
    <w:rsid w:val="00976ABB"/>
    <w:rsid w:val="009D757E"/>
    <w:rsid w:val="00A03113"/>
    <w:rsid w:val="00A40C4C"/>
    <w:rsid w:val="00A525A4"/>
    <w:rsid w:val="00A746A4"/>
    <w:rsid w:val="00A837F9"/>
    <w:rsid w:val="00AF1070"/>
    <w:rsid w:val="00B32004"/>
    <w:rsid w:val="00B40B61"/>
    <w:rsid w:val="00B52517"/>
    <w:rsid w:val="00BC75C7"/>
    <w:rsid w:val="00C71EA4"/>
    <w:rsid w:val="00C818A7"/>
    <w:rsid w:val="00CA5013"/>
    <w:rsid w:val="00CE7659"/>
    <w:rsid w:val="00D657C4"/>
    <w:rsid w:val="00DB2D6C"/>
    <w:rsid w:val="00DE37AA"/>
    <w:rsid w:val="00E01E20"/>
    <w:rsid w:val="00E9334E"/>
    <w:rsid w:val="00ED6ED2"/>
    <w:rsid w:val="00F02241"/>
    <w:rsid w:val="00F97A59"/>
    <w:rsid w:val="00FE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156"/>
  <w15:chartTrackingRefBased/>
  <w15:docId w15:val="{79D627E4-5449-457A-A95C-75EF805E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link w:val="Titre1Car"/>
    <w:uiPriority w:val="9"/>
    <w:qFormat/>
    <w:rsid w:val="007042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47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423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le-text">
    <w:name w:val="title-text"/>
    <w:basedOn w:val="Policepardfaut"/>
    <w:rsid w:val="0070423B"/>
  </w:style>
  <w:style w:type="character" w:styleId="Lienhypertexte">
    <w:name w:val="Hyperlink"/>
    <w:basedOn w:val="Policepardfaut"/>
    <w:uiPriority w:val="99"/>
    <w:semiHidden/>
    <w:unhideWhenUsed/>
    <w:rsid w:val="00B5251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127C2E"/>
    <w:rPr>
      <w:i/>
      <w:iCs/>
    </w:rPr>
  </w:style>
  <w:style w:type="character" w:customStyle="1" w:styleId="html-italic">
    <w:name w:val="html-italic"/>
    <w:basedOn w:val="Policepardfaut"/>
    <w:rsid w:val="004C302B"/>
  </w:style>
  <w:style w:type="character" w:customStyle="1" w:styleId="Titre3Car">
    <w:name w:val="Titre 3 Car"/>
    <w:basedOn w:val="Policepardfaut"/>
    <w:link w:val="Titre3"/>
    <w:uiPriority w:val="9"/>
    <w:semiHidden/>
    <w:rsid w:val="001D471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nlinelibrary.wiley.com/doi/full/10.1111/ina.1268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onlinelibrary.wiley.com/doi/full/10.1111/ina.1268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etd.libs.uga.edu/pdfs/morris_jonathan_a_201505_ms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nlinelibrary.wiley.com/doi/full/10.1111/ina.12682" TargetMode="External"/><Relationship Id="rId5" Type="http://schemas.openxmlformats.org/officeDocument/2006/relationships/hyperlink" Target="https://www.ncbi.nlm.nih.gov/pmc/articles/PMC2137113/" TargetMode="External"/><Relationship Id="rId15" Type="http://schemas.openxmlformats.org/officeDocument/2006/relationships/hyperlink" Target="https://onlinelibrary.wiley.com/doi/full/10.1111/ina.12682" TargetMode="External"/><Relationship Id="rId10" Type="http://schemas.openxmlformats.org/officeDocument/2006/relationships/hyperlink" Target="https://onlinelibrary.wiley.com/doi/full/10.1111/ina.126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library.wiley.com/doi/full/10.1111/ina.12682" TargetMode="External"/><Relationship Id="rId14" Type="http://schemas.openxmlformats.org/officeDocument/2006/relationships/hyperlink" Target="https://onlinelibrary.wiley.com/doi/full/10.1111/ina.1268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397ED-40F2-4A16-B0C2-41E3D22A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13461</TotalTime>
  <Pages>4</Pages>
  <Words>1268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Subhasish</dc:creator>
  <cp:keywords/>
  <dc:description/>
  <cp:lastModifiedBy>BASAK Subhasish</cp:lastModifiedBy>
  <cp:revision>75</cp:revision>
  <dcterms:created xsi:type="dcterms:W3CDTF">2024-07-22T13:44:00Z</dcterms:created>
  <dcterms:modified xsi:type="dcterms:W3CDTF">2024-10-03T14:54:00Z</dcterms:modified>
</cp:coreProperties>
</file>