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Pareto-Efficient Debiasing via Causal Localization and Local Circuit Edits         (CMA × SFC-lite)</w:t>
      </w:r>
      <w:r w:rsidDel="00000000" w:rsidR="00000000" w:rsidRPr="00000000">
        <w:rPr>
          <w:rtl w:val="0"/>
        </w:rPr>
        <w:br w:type="textWrapping"/>
        <w:t xml:space="preserve">                                             Haoyang Yin, Qiji Zheng, Qiao Zhao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9jfcu8d301j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Motivation &amp; Problem Statement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 common way to reduce stereotype bias in language models is to ablate whole attention heads or even layers. This often helps fairness but causes collateral damage (perplexity ↑, downstream accuracy ↓). By contrast, causal localization (e.g., CMA/mediation in Vig et al., 2020) pinpoints which units carry bias but does not specify how to edit them with minimal performance degradation.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propose a closed-loop procedure: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Localize a small set of causally responsible units (Top-K heads/channels) via CMA.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Validate node level influence within this set and perform fine-grained edits (subspace edits or soft gating) — SFC-lite (cf. Marks et al., 2025, “Sparse Feature Circuits”) at the node-level without global circuit mining.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Evaluate at matched debiasing, plotting the Bias–Perplexity Pareto frontier; additionally, for each mediator we quantify the dataset-level performance impact of single-site replacement (NIE vs. ΔPerplexity).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Goal: achieve the same debiasing (matched TE/NIE reduction) with smaller performance cost and smaller structural change than head ablation.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5zltknlkhx8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Research Questions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RQ1 — </w:t>
      </w:r>
      <w:r w:rsidDel="00000000" w:rsidR="00000000" w:rsidRPr="00000000">
        <w:rPr>
          <w:b w:val="1"/>
          <w:sz w:val="20"/>
          <w:szCs w:val="20"/>
          <w:rtl w:val="0"/>
        </w:rPr>
        <w:t xml:space="preserve">Soft local gating vs. discrete ablations.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If we scale mediator signals with continuous, local gates (α∈[0,1]) instead of hard zeroing, do we obtain a better bias–perplexity balance across the full gating curve, compared with head-off and size-matched random cuts?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RQ2 — </w:t>
      </w:r>
      <w:r w:rsidDel="00000000" w:rsidR="00000000" w:rsidRPr="00000000">
        <w:rPr>
          <w:b w:val="1"/>
          <w:sz w:val="20"/>
          <w:szCs w:val="20"/>
          <w:rtl w:val="0"/>
        </w:rPr>
        <w:t xml:space="preserve">Locate mediators that optimize the trade-off</w:t>
      </w:r>
      <w:r w:rsidDel="00000000" w:rsidR="00000000" w:rsidRPr="00000000">
        <w:rPr>
          <w:sz w:val="20"/>
          <w:szCs w:val="20"/>
          <w:rtl w:val="0"/>
        </w:rPr>
        <w:t xml:space="preserve">. Can we locate specific mediators or small mediator sets that achieve superior bias–perplexity trade-offs rather than those selected only for maximum debiasing?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Optional: Does the NIE vs ΔPPL plane reveal high-NIE/low-cost mediators missed by head-only ranking; do results transfer across bias types/models?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8b7ej1k9ltu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Datasets &amp; Interventions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Templates: Professions and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WinoBias</w:t>
        </w:r>
      </w:hyperlink>
      <w:r w:rsidDel="00000000" w:rsidR="00000000" w:rsidRPr="00000000">
        <w:rPr>
          <w:sz w:val="20"/>
          <w:szCs w:val="20"/>
          <w:rtl w:val="0"/>
        </w:rPr>
        <w:t xml:space="preserve">/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WinoGender</w:t>
        </w:r>
      </w:hyperlink>
      <w:r w:rsidDel="00000000" w:rsidR="00000000" w:rsidRPr="00000000">
        <w:rPr>
          <w:sz w:val="20"/>
          <w:szCs w:val="20"/>
          <w:rtl w:val="0"/>
        </w:rPr>
        <w:t xml:space="preserve">-style probes (gendered pronoun resolution).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Interventions: swap-gender (he↔she, his↔her) and set-gender/occupation swap (e.g., nurse↔man), with tokenization matched.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step: pronoun prediction step (next-token LM).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Split: small train/val for ranking/selection; held-out test for final curves.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xe9bo8066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Metrics (Bias &amp; Performance)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Bias (CMA): TE and </w:t>
      </w:r>
      <m:oMath>
        <m:r>
          <w:rPr>
            <w:sz w:val="20"/>
            <w:szCs w:val="20"/>
          </w:rPr>
          <m:t xml:space="preserve">NI</m:t>
        </m:r>
        <m:sSub>
          <m:sSubPr>
            <m:ctrlPr>
              <w:rPr>
                <w:sz w:val="20"/>
                <w:szCs w:val="20"/>
              </w:rPr>
            </m:ctrlPr>
          </m:sSubPr>
          <m:e>
            <m:r>
              <w:rPr>
                <w:sz w:val="20"/>
                <w:szCs w:val="20"/>
              </w:rPr>
              <m:t xml:space="preserve">E</m:t>
            </m:r>
          </m:e>
          <m:sub>
            <m:r>
              <w:rPr>
                <w:sz w:val="20"/>
                <w:szCs w:val="20"/>
              </w:rPr>
              <m:t xml:space="preserve">z</m:t>
            </m:r>
          </m:sub>
        </m:sSub>
      </m:oMath>
      <w:r w:rsidDel="00000000" w:rsidR="00000000" w:rsidRPr="00000000">
        <w:rPr>
          <w:sz w:val="20"/>
          <w:szCs w:val="20"/>
          <w:rtl w:val="0"/>
        </w:rPr>
        <w:t xml:space="preserve">on the target token.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 (primary): ΔPerplexity (ΔPPL) on WikiText-2 (ΔNLL interchangeable).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Secondary: Winograd-style Accuracy / −ΔAcc on a small coreference probe.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Structural cost: #cuts (hard) and ∑|1−α| (soft edit magnitude).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Selection figure: NIE vs ΔPPL scatter (single-site mediator replacement) to identify high-NIE/low-cost targets.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Bias–Perplexity Pareto. X-axis = TE/NIE remaining (% of baseline, a.k.a. bias), Y-axis = ΔPerplexity (lower is better). Points closer to the lower-left achieve lower bias at lower performance cost.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gsrqc11bemr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Methods &amp; Pipeline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Stage A — CMA localization. On GPT-2 small: compute TE and per-mediator NIE at attn-out / mlp-out on the target step, rank mediators and keep the Top-K; We then plot NIE vs ΔPPL where single-site replacement means: at one mediator and one intervention location, we replace that mediator’s activation with a counterfactual/control activation and re-evaluate the model to obtain its NIE (target token) and ΔPerplexity (dataset-level). We also include a fake-replacement control, applying the same procedure to CMA-irrelevant mediators (low-NIE) and/or non-critical positions to estimate background variance and rule out generic perturbation artifacts.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Stage B — Local Edits (SFC-lite). Around selected mediators, validate the role of each node and perform: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 Cut: zero out high-impact node sub-dimensions within the activation space, thereby selectively removing their contribution to the target variable.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 Gate: scale the selected nodes' activations by </w:t>
      </w:r>
      <m:oMath>
        <m:r>
          <w:rPr>
            <w:sz w:val="20"/>
            <w:szCs w:val="20"/>
          </w:rPr>
          <m:t xml:space="preserve">α∈[0,1]</m:t>
        </m:r>
      </m:oMath>
      <w:r w:rsidDel="00000000" w:rsidR="00000000" w:rsidRPr="00000000">
        <w:rPr>
          <w:sz w:val="20"/>
          <w:szCs w:val="20"/>
          <w:rtl w:val="0"/>
        </w:rPr>
        <w:t xml:space="preserve"> in a reversible manner, suppressing their causal influence, with the regularization of minimizing </w:t>
      </w:r>
      <m:oMath>
        <m:r>
          <w:rPr>
            <w:sz w:val="20"/>
            <w:szCs w:val="20"/>
          </w:rPr>
          <m:t xml:space="preserve">∑∣1−α∣</m:t>
        </m:r>
      </m:oMath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Baselines: Head-off, Random-cut (size-matched), optional Layer-sparsify.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ricltc5t8r5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Evaluation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Matched debiasing: At fixed remaining bias thresholds (TE/NIE ≤ τ, % of baseline), compare ΔPPL (and −ΔAcc); plot the Bias–Perplexity Pareto (lower-left is better).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Matched utility (optional): At fixed ΔPPL budgets (ΔPPL ≤ π), compare achieved remaining bias (TE/NIE % of baseline).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Pareto plot construction (greedy; Vig et al., 2020): Rank mediators (or subspace directions) by importance, then greedily add them one at a time; after each addition, recompute remaining bias (TE/NIE % of baseline) and ΔPerplexity to yield a curve whose lower envelope is the Pareto frontier. For local gates, sweep a small grid of α (e.g., 0.25/0.5/0.75/1.0) per step and keep the best point for fair comparison.</w:t>
      </w:r>
    </w:p>
    <w:p w:rsidR="00000000" w:rsidDel="00000000" w:rsidP="00000000" w:rsidRDefault="00000000" w:rsidRPr="00000000" w14:paraId="00000023">
      <w:pPr>
        <w:spacing w:after="240" w:before="240" w:line="276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7. Expected Results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0"/>
          <w:szCs w:val="20"/>
          <w:rtl w:val="0"/>
        </w:rPr>
        <w:t xml:space="preserve">Trade-off improvement. </w:t>
      </w:r>
      <w:r w:rsidDel="00000000" w:rsidR="00000000" w:rsidRPr="00000000">
        <w:rPr>
          <w:sz w:val="20"/>
          <w:szCs w:val="20"/>
          <w:rtl w:val="0"/>
        </w:rPr>
        <w:t xml:space="preserve">At matched remaining bias, local cuts / continuous gates should incur smaller ΔPerplexity than head ablation or size-matched random cuts, producing a more favorable Pareto frontier.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0"/>
          <w:szCs w:val="20"/>
          <w:rtl w:val="0"/>
        </w:rPr>
        <w:t xml:space="preserve">Locating Pareto-efficient mediators.</w:t>
      </w:r>
      <w:r w:rsidDel="00000000" w:rsidR="00000000" w:rsidRPr="00000000">
        <w:rPr>
          <w:sz w:val="20"/>
          <w:szCs w:val="20"/>
          <w:rtl w:val="0"/>
        </w:rPr>
        <w:t xml:space="preserve">Causal localization plus soft gating should locate mediators that sit on/near the Pareto frontier(i.e., low remaining bias with low ΔPPL)and these mediators would likely be missed if we optimize only for debiasing.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Optional.</w:t>
      </w:r>
      <w:r w:rsidDel="00000000" w:rsidR="00000000" w:rsidRPr="00000000">
        <w:rPr>
          <w:sz w:val="20"/>
          <w:szCs w:val="20"/>
          <w:rtl w:val="0"/>
        </w:rPr>
        <w:t xml:space="preserve"> The NIE–ΔPPL plane will surface high-impact/low-cost mediators that head-level ranking may miss, and limited robustness checks (e.g., a second bias or DistilGPT2) will indicate whether such trade-offs transfer.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9n7roy9vabi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Milestones &amp; Feasibility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W1–2: Build probes &amp; interventions; run CMA on GPT-2 small → NIE heatmaps + NIE vs ΔPPL scatter; select Top-K mediators.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W3–4: Implement Local Cut/Gate + baselines (Head-off/Random) → first Bias–Perplexity Pareto.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W5–6: Add SAE on selected layers (feature-level SFC-lite), run feature edits + faithfulness checks; refine Pareto.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W7–8: Robustness (second bias or DistilGPT2 / larger model), ablations &amp; error bars, finalize figures + write-up.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clanlp.github.io/corefBias/overview" TargetMode="External"/><Relationship Id="rId7" Type="http://schemas.openxmlformats.org/officeDocument/2006/relationships/hyperlink" Target="https://github.com/rudinger/winogender-schem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