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Projeto Inteligência de Mercado</w:t>
      </w:r>
    </w:p>
    <w:p>
      <w:pPr>
        <w:pStyle w:val="Heading2"/>
      </w:pPr>
      <w:r>
        <w:t>Sumário</w:t>
      </w:r>
    </w:p>
    <w:p>
      <w:r>
        <w:t>1. Introdução</w:t>
      </w:r>
    </w:p>
    <w:p>
      <w:r>
        <w:t>2. Objetivos</w:t>
      </w:r>
    </w:p>
    <w:p>
      <w:r>
        <w:t>3. Fontes de Dados</w:t>
      </w:r>
    </w:p>
    <w:p>
      <w:r>
        <w:t>4. Estrutura do Projeto</w:t>
      </w:r>
    </w:p>
    <w:p>
      <w:r>
        <w:t>- runner.py: script principal que executa em sequência todos os scripts de coleta implementados no projeto. Facilita a atualização geral dos dados.</w:t>
      </w:r>
    </w:p>
    <w:p>
      <w:r>
        <w:t>5. Indicadores Econômicos Utilizados</w:t>
      </w:r>
    </w:p>
    <w:p>
      <w:r>
        <w:t>- Taxa de Desemprego (PNAD Contínua ajustada - mensal) (IPEA PNADC12_TDESOCM12)</w:t>
      </w:r>
    </w:p>
    <w:p>
      <w:r>
        <w:t>- Crédito Total para Empresas (mensal) (SGS 20616)</w:t>
      </w:r>
    </w:p>
    <w:p>
      <w:r>
        <w:t>- Preço Médio do Frete Rodoviário (mensal - R$/TKU) (Fonte: ONTL via JSON)</w:t>
      </w:r>
    </w:p>
    <w:p>
      <w:r>
        <w:t>6. Séries com Problemas de Coleta</w:t>
      </w:r>
    </w:p>
    <w:p>
      <w:r>
        <w:t>7. Considerações Finais</w:t>
      </w:r>
    </w:p>
    <w:p>
      <w:pPr>
        <w:pStyle w:val="Heading2"/>
      </w:pPr>
      <w:r>
        <w:t>1. Introdução</w:t>
      </w:r>
    </w:p>
    <w:p>
      <w:r>
        <w:t>Este projeto visa correlacionar variáveis macroeconômicas (como commodities, juros e câmbio) com indicadores internos da produção de caminhões (build rate e mix), fornecendo insights estratégicos para a alta gestão.</w:t>
      </w:r>
    </w:p>
    <w:p>
      <w:pPr>
        <w:pStyle w:val="Heading2"/>
      </w:pPr>
      <w:r>
        <w:t>2. Objetivos</w:t>
      </w:r>
    </w:p>
    <w:p>
      <w:r>
        <w:t>2.1 Objetivo Geral</w:t>
      </w:r>
    </w:p>
    <w:p>
      <w:r>
        <w:t>Antecipar cenários econômicos que impactem o planejamento de produção e o portfólio de produtos oferecidos.</w:t>
      </w:r>
    </w:p>
    <w:p>
      <w:r>
        <w:t>2.2 Objetivos Específicos</w:t>
      </w:r>
    </w:p>
    <w:p>
      <w:r>
        <w:t>- Avaliar a sensibilidade do mix e build rate em relação à macroeconomia.</w:t>
      </w:r>
    </w:p>
    <w:p>
      <w:r>
        <w:t>- Detectar padrões históricos e simular cenários futuros.</w:t>
      </w:r>
    </w:p>
    <w:p>
      <w:r>
        <w:t>- Entregar painéis e relatórios de suporte à tomada de decisão executiva.</w:t>
      </w:r>
    </w:p>
    <w:p>
      <w:r>
        <w:t>- Incorporar análise por texto para simulação de cenários descritos em linguagem natural.</w:t>
      </w:r>
    </w:p>
    <w:p>
      <w:r>
        <w:t>- Acompanhar segmentos econômicos relevantes como agro, bebidas, madeira, etc.</w:t>
      </w:r>
    </w:p>
    <w:p>
      <w:pPr>
        <w:pStyle w:val="Heading2"/>
      </w:pPr>
      <w:r>
        <w:t>3. Fontes de Dados</w:t>
      </w:r>
    </w:p>
    <w:p>
      <w:r>
        <w:t>- API do Banco Central do Brasil (SGS)</w:t>
      </w:r>
    </w:p>
    <w:p>
      <w:r>
        <w:t>- IBGE/SIDRA (futuro: desemprego, produção setorial)</w:t>
      </w:r>
    </w:p>
    <w:p>
      <w:r>
        <w:t>- CEPEA, ANTT, FGV, Fretebras (futuras integrações complementares)</w:t>
      </w:r>
    </w:p>
    <w:p>
      <w:r>
        <w:t>- Dados internos da montadora (a integrar em etapas posteriores)</w:t>
      </w:r>
    </w:p>
    <w:p>
      <w:pPr>
        <w:pStyle w:val="Heading2"/>
      </w:pPr>
      <w:r>
        <w:t>4. Estrutura do Projeto</w:t>
      </w:r>
    </w:p>
    <w:p>
      <w:r>
        <w:br/>
        <w:t>- buildrate/: código Python em formato de pacote</w:t>
        <w:br/>
        <w:t>- data/: arquivos de dados organizados por domínio (exchange_rates, interest_rates, macro, transport)</w:t>
        <w:br/>
        <w:t>- notebooks/: análises exploratórias</w:t>
        <w:br/>
        <w:t>- models/: modelos preditivos</w:t>
        <w:br/>
        <w:t>- reports/: relatórios gerados</w:t>
        <w:br/>
        <w:t>- docs/: documentação e apresentações</w:t>
        <w:br/>
      </w:r>
    </w:p>
    <w:p>
      <w:pPr>
        <w:pStyle w:val="Heading2"/>
      </w:pPr>
      <w:r>
        <w:t>5. Indicadores Econômicos Utilizados</w:t>
      </w:r>
    </w:p>
    <w:p>
      <w:r>
        <w:t>- USD/BRL: Cotação de venda do dólar americano (diária) (SGS 1)</w:t>
      </w:r>
    </w:p>
    <w:p>
      <w:r>
        <w:t>- EUR/BRL: Cotação de venda do euro (diária) (SGS 21619)</w:t>
      </w:r>
    </w:p>
    <w:p>
      <w:r>
        <w:t>- Selic Meta: Taxa básica de juros (mensal) (SGS 1178)</w:t>
      </w:r>
    </w:p>
    <w:p>
      <w:r>
        <w:t>- CDI: Taxa CDI média diária (diária) (SGS 12)</w:t>
      </w:r>
    </w:p>
    <w:p>
      <w:r>
        <w:t>- IPCA: Índice oficial de inflação (mensal) (SGS 433)</w:t>
      </w:r>
    </w:p>
    <w:p>
      <w:r>
        <w:t>- IBC-Br: Índice de Atividade Econômica (mensal dessazonalizado) (SGS 24363)</w:t>
      </w:r>
    </w:p>
    <w:p>
      <w:r>
        <w:t>- IGP-M: Índice Geral de Preços do Mercado (mensal) (SGS 189)</w:t>
      </w:r>
    </w:p>
    <w:p>
      <w:r>
        <w:t>- Produção Industrial: Produção Física Industrial total (mensal) (SGS 21859)</w:t>
      </w:r>
    </w:p>
    <w:p>
      <w:r>
        <w:t>- Consumo Interno: Varejo ampliado (volume dessazonalizado - mensal) (SGS 4382)</w:t>
      </w:r>
    </w:p>
    <w:p>
      <w:r>
        <w:t>- PIB: Produto Interno Bruto total a preços constantes (trimestral) (SGS 4380)</w:t>
      </w:r>
    </w:p>
    <w:p>
      <w:r>
        <w:t>- PIB Agropecuário: Produto Interno Bruto do setor agro (trimestral) (SGS 4385)</w:t>
      </w:r>
    </w:p>
    <w:p>
      <w:pPr>
        <w:pStyle w:val="Heading2"/>
      </w:pPr>
      <w:r>
        <w:t>6. Séries com Problemas de Coleta</w:t>
      </w:r>
    </w:p>
    <w:p>
      <w:r>
        <w:t>- Exportações de Bens (SGS 22663): erro 504 mesmo para intervalos curtos</w:t>
      </w:r>
    </w:p>
    <w:p>
      <w:r>
        <w:t>- Exportações FOB (SGS 22601): erro 504 mesmo para intervalos curtos</w:t>
      </w:r>
    </w:p>
    <w:p>
      <w:r>
        <w:t>- Desemprego (PNAD Contínua - SGS 24369): erro 404 na API — Substituída pela série IPEA PNADC12_TDESOCM12 (via ipeadatapy)</w:t>
      </w:r>
    </w:p>
    <w:p>
      <w:r>
        <w:t>- Avaliar uso futuro do IBGE/SIDRA para suprir essas lacunas</w:t>
      </w:r>
    </w:p>
    <w:p>
      <w:pPr>
        <w:pStyle w:val="Heading2"/>
      </w:pPr>
      <w:r>
        <w:t>7. Considerações Finais</w:t>
      </w:r>
    </w:p>
    <w:p>
      <w:r>
        <w:t>O projeto segue uma abordagem modular e escalável, integrando múltiplas fontes externas. As coletas estão padronizadas e preparadas para migração futura para banco de dados (SQL Server ou Snowflake). A documentação e scripts são comentados para facilitar manutenção. Próximas etapas incluem ampliação dos indicadores do setor de transportes e integração de dados internos.</w:t>
      </w:r>
    </w:p>
    <w:p>
      <w:r>
        <w:br w:type="page"/>
      </w:r>
    </w:p>
    <w:p>
      <w:pPr>
        <w:pStyle w:val="Heading1"/>
      </w:pPr>
      <w:r>
        <w:t>8. Automação e Execução das Coletas</w:t>
      </w:r>
    </w:p>
    <w:p>
      <w:r>
        <w:t>O projeto conta com o script runner.py, localizado na raiz, responsável por orquestrar a execução sequencial de todos os scripts de coleta contidos em buildrate/collection/. Ele utiliza o modo de execução via módulo (python -m) para garantir compatibilidade com ambientes virtuais (venv) e evitar problemas de importação.</w:t>
        <w:br/>
        <w:br/>
        <w:t>Para executar todas as coletas de forma automatizada:</w:t>
        <w:br/>
        <w:br/>
        <w:t xml:space="preserve">    python runner.py</w:t>
        <w:br/>
        <w:br/>
        <w:t>Cada script definido na lista interna será executado individualmente. O runner imprime no terminal o status de sucesso ou erro. A lista de scripts é atualizada sempre que um novo script de coleta for adicionado à pasta buildrate/collection.</w:t>
        <w:br/>
        <w:br/>
        <w:t>Importante: é necessário ter os pacotes requests, pandas e demais dependências instalados no ambiente virtual ativado.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