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940E" w14:textId="105E5843" w:rsidR="009F19CE" w:rsidRPr="001F351B" w:rsidRDefault="009F19CE" w:rsidP="009F19CE">
      <w:pPr>
        <w:rPr>
          <w:rFonts w:ascii="Arial" w:hAnsi="Arial" w:cs="Arial"/>
          <w:b/>
          <w:bCs/>
          <w:lang w:val="en-US"/>
        </w:rPr>
      </w:pPr>
      <w:r w:rsidRPr="001F351B">
        <w:rPr>
          <w:rFonts w:ascii="Arial" w:hAnsi="Arial" w:cs="Arial"/>
          <w:b/>
          <w:bCs/>
          <w:lang w:val="en-US"/>
        </w:rPr>
        <w:t xml:space="preserve">Part 1 </w:t>
      </w:r>
    </w:p>
    <w:p w14:paraId="7DA72C27" w14:textId="6E4AEFC1" w:rsidR="009F19CE" w:rsidRPr="001F351B" w:rsidRDefault="009F19CE" w:rsidP="009F19CE">
      <w:pPr>
        <w:rPr>
          <w:rFonts w:ascii="Arial" w:hAnsi="Arial" w:cs="Arial"/>
          <w:b/>
          <w:bCs/>
          <w:lang w:val="en-US"/>
        </w:rPr>
      </w:pPr>
      <w:r w:rsidRPr="001F351B">
        <w:rPr>
          <w:rFonts w:ascii="Arial" w:hAnsi="Arial" w:cs="Arial"/>
          <w:b/>
          <w:bCs/>
          <w:lang w:val="en-US"/>
        </w:rPr>
        <w:t>Step 1</w:t>
      </w:r>
    </w:p>
    <w:p w14:paraId="68F9C53F" w14:textId="129997F4" w:rsidR="001F351B" w:rsidRDefault="001F351B" w:rsidP="009F19C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researchers set out to find an optimal solution (processor efficient using a subset of total features) to the problem of predicting an emerging market ETF’s performance.</w:t>
      </w:r>
    </w:p>
    <w:p w14:paraId="430F0E99" w14:textId="3D42A36E" w:rsidR="001F351B" w:rsidRDefault="001F351B" w:rsidP="009F19C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the results published, the researchers conclude that the performance of an emerging market ETF is driven by quantitative factors whereas that of a developed market ETF is driven by more qualitative factors. The MLP method </w:t>
      </w:r>
      <w:proofErr w:type="spellStart"/>
      <w:r>
        <w:rPr>
          <w:rFonts w:ascii="Arial" w:hAnsi="Arial" w:cs="Arial"/>
          <w:lang w:val="en-US"/>
        </w:rPr>
        <w:t>utilised</w:t>
      </w:r>
      <w:proofErr w:type="spellEnd"/>
      <w:r>
        <w:rPr>
          <w:rFonts w:ascii="Arial" w:hAnsi="Arial" w:cs="Arial"/>
          <w:lang w:val="en-US"/>
        </w:rPr>
        <w:t xml:space="preserve"> in the study is a highly quantitative method and therefore more suited to the analysis of an emerging market ETF. </w:t>
      </w:r>
    </w:p>
    <w:p w14:paraId="37BE6A49" w14:textId="5A15889C" w:rsidR="001F351B" w:rsidRPr="001F351B" w:rsidRDefault="001F351B" w:rsidP="009F19CE">
      <w:pPr>
        <w:rPr>
          <w:rFonts w:ascii="Arial" w:hAnsi="Arial" w:cs="Arial"/>
          <w:b/>
          <w:bCs/>
          <w:lang w:val="en-US"/>
        </w:rPr>
      </w:pPr>
      <w:r w:rsidRPr="001F351B">
        <w:rPr>
          <w:rFonts w:ascii="Arial" w:hAnsi="Arial" w:cs="Arial"/>
          <w:b/>
          <w:bCs/>
          <w:lang w:val="en-US"/>
        </w:rPr>
        <w:t>Step 2</w:t>
      </w:r>
    </w:p>
    <w:p w14:paraId="703B0D00" w14:textId="119380D8" w:rsidR="001F351B" w:rsidRDefault="00BD540C" w:rsidP="009F19C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illustrated in Table 4, the accuracy of the model increases with the number of features up to 5 before steeply decreasing with 6 features.</w:t>
      </w:r>
    </w:p>
    <w:p w14:paraId="1900A978" w14:textId="293FB231" w:rsidR="00BD540C" w:rsidRDefault="00BD540C" w:rsidP="00BD540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results of the study therefore indicate that a subset of 5 features is the optimal number of features to employ in the MLP model described. </w:t>
      </w:r>
    </w:p>
    <w:p w14:paraId="7FB04FEC" w14:textId="620C85B2" w:rsidR="00BD540C" w:rsidRDefault="00BD540C" w:rsidP="002A38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2A3855">
        <w:rPr>
          <w:rFonts w:ascii="Arial" w:hAnsi="Arial" w:cs="Arial"/>
          <w:lang w:val="en-US"/>
        </w:rPr>
        <w:t>most useful features</w:t>
      </w:r>
      <w:r>
        <w:rPr>
          <w:rFonts w:ascii="Arial" w:hAnsi="Arial" w:cs="Arial"/>
          <w:lang w:val="en-US"/>
        </w:rPr>
        <w:t xml:space="preserve"> in predicting the performance of each ETF fund </w:t>
      </w:r>
      <w:proofErr w:type="gramStart"/>
      <w:r>
        <w:rPr>
          <w:rFonts w:ascii="Arial" w:hAnsi="Arial" w:cs="Arial"/>
          <w:lang w:val="en-US"/>
        </w:rPr>
        <w:t>differs</w:t>
      </w:r>
      <w:proofErr w:type="gramEnd"/>
      <w:r>
        <w:rPr>
          <w:rFonts w:ascii="Arial" w:hAnsi="Arial" w:cs="Arial"/>
          <w:lang w:val="en-US"/>
        </w:rPr>
        <w:t xml:space="preserve"> by fund (presumably due to sectoral focus of each fund)</w:t>
      </w:r>
      <w:r w:rsidR="002A385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1791"/>
      </w:tblGrid>
      <w:tr w:rsidR="002A3855" w14:paraId="41B4FA65" w14:textId="77777777" w:rsidTr="002A3855">
        <w:tc>
          <w:tcPr>
            <w:tcW w:w="4248" w:type="dxa"/>
          </w:tcPr>
          <w:p w14:paraId="334BEE35" w14:textId="7D97C15A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Archer’s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on balance volume</w:t>
            </w:r>
          </w:p>
        </w:tc>
        <w:tc>
          <w:tcPr>
            <w:tcW w:w="2977" w:type="dxa"/>
          </w:tcPr>
          <w:p w14:paraId="02FE2A05" w14:textId="6A91963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AOBV_LR_2</w:t>
            </w:r>
          </w:p>
        </w:tc>
        <w:tc>
          <w:tcPr>
            <w:tcW w:w="1791" w:type="dxa"/>
          </w:tcPr>
          <w:p w14:paraId="6B9EAF38" w14:textId="2C69651E" w:rsidR="002A3855" w:rsidRDefault="00C8110D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Volume</w:t>
            </w:r>
          </w:p>
        </w:tc>
      </w:tr>
      <w:tr w:rsidR="002A3855" w14:paraId="5C8FE244" w14:textId="77777777" w:rsidTr="002A3855">
        <w:tc>
          <w:tcPr>
            <w:tcW w:w="4248" w:type="dxa"/>
          </w:tcPr>
          <w:p w14:paraId="56F6D99E" w14:textId="4B756D7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Bollinger band percent</w:t>
            </w:r>
          </w:p>
        </w:tc>
        <w:tc>
          <w:tcPr>
            <w:tcW w:w="2977" w:type="dxa"/>
          </w:tcPr>
          <w:p w14:paraId="570775F0" w14:textId="1CB88A1C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BBP_5_2.0</w:t>
            </w:r>
          </w:p>
        </w:tc>
        <w:tc>
          <w:tcPr>
            <w:tcW w:w="1791" w:type="dxa"/>
          </w:tcPr>
          <w:p w14:paraId="54445579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16FB0F2F" w14:textId="77777777" w:rsidTr="002A3855">
        <w:tc>
          <w:tcPr>
            <w:tcW w:w="4248" w:type="dxa"/>
          </w:tcPr>
          <w:p w14:paraId="16E82658" w14:textId="27F41F69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Balance of power</w:t>
            </w:r>
          </w:p>
        </w:tc>
        <w:tc>
          <w:tcPr>
            <w:tcW w:w="2977" w:type="dxa"/>
          </w:tcPr>
          <w:p w14:paraId="6313B710" w14:textId="6840B1B3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BOP</w:t>
            </w:r>
          </w:p>
        </w:tc>
        <w:tc>
          <w:tcPr>
            <w:tcW w:w="1791" w:type="dxa"/>
          </w:tcPr>
          <w:p w14:paraId="0662CA64" w14:textId="67410F1E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Momentum </w:t>
            </w:r>
          </w:p>
        </w:tc>
      </w:tr>
      <w:tr w:rsidR="002A3855" w14:paraId="703A4809" w14:textId="77777777" w:rsidTr="002A3855">
        <w:tc>
          <w:tcPr>
            <w:tcW w:w="4248" w:type="dxa"/>
          </w:tcPr>
          <w:p w14:paraId="38824209" w14:textId="2D67BB2E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Correlation trend indicator</w:t>
            </w:r>
          </w:p>
        </w:tc>
        <w:tc>
          <w:tcPr>
            <w:tcW w:w="2977" w:type="dxa"/>
          </w:tcPr>
          <w:p w14:paraId="782C2371" w14:textId="1A4697C3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CTI_12</w:t>
            </w:r>
          </w:p>
        </w:tc>
        <w:tc>
          <w:tcPr>
            <w:tcW w:w="1791" w:type="dxa"/>
          </w:tcPr>
          <w:p w14:paraId="50588D87" w14:textId="3B6EE578" w:rsidR="002A3855" w:rsidRDefault="00C8110D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Momentum</w:t>
            </w:r>
          </w:p>
        </w:tc>
      </w:tr>
      <w:tr w:rsidR="002A3855" w14:paraId="0D823394" w14:textId="77777777" w:rsidTr="002A3855">
        <w:tc>
          <w:tcPr>
            <w:tcW w:w="4248" w:type="dxa"/>
          </w:tcPr>
          <w:p w14:paraId="06EA72DD" w14:textId="301476A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Decreasing</w:t>
            </w:r>
          </w:p>
        </w:tc>
        <w:tc>
          <w:tcPr>
            <w:tcW w:w="2977" w:type="dxa"/>
          </w:tcPr>
          <w:p w14:paraId="6B4549D8" w14:textId="30C02E0F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DEC_1</w:t>
            </w:r>
          </w:p>
        </w:tc>
        <w:tc>
          <w:tcPr>
            <w:tcW w:w="1791" w:type="dxa"/>
          </w:tcPr>
          <w:p w14:paraId="5C2EE132" w14:textId="4F435C9B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Cycle</w:t>
            </w:r>
          </w:p>
        </w:tc>
      </w:tr>
      <w:tr w:rsidR="002A3855" w14:paraId="46F21A10" w14:textId="77777777" w:rsidTr="002A3855">
        <w:tc>
          <w:tcPr>
            <w:tcW w:w="4248" w:type="dxa"/>
          </w:tcPr>
          <w:p w14:paraId="57016445" w14:textId="700CBACA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Even better sinewave</w:t>
            </w:r>
          </w:p>
        </w:tc>
        <w:tc>
          <w:tcPr>
            <w:tcW w:w="2977" w:type="dxa"/>
          </w:tcPr>
          <w:p w14:paraId="6B708B0C" w14:textId="685BF62F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EBSW_40_10</w:t>
            </w:r>
          </w:p>
        </w:tc>
        <w:tc>
          <w:tcPr>
            <w:tcW w:w="1791" w:type="dxa"/>
          </w:tcPr>
          <w:p w14:paraId="57933F59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6EFA0F91" w14:textId="77777777" w:rsidTr="002A3855">
        <w:tc>
          <w:tcPr>
            <w:tcW w:w="4248" w:type="dxa"/>
          </w:tcPr>
          <w:p w14:paraId="50DEC4C2" w14:textId="33BCC178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Increasing</w:t>
            </w:r>
          </w:p>
        </w:tc>
        <w:tc>
          <w:tcPr>
            <w:tcW w:w="2977" w:type="dxa"/>
          </w:tcPr>
          <w:p w14:paraId="0D2F245D" w14:textId="66534FA8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INC_1</w:t>
            </w:r>
          </w:p>
        </w:tc>
        <w:tc>
          <w:tcPr>
            <w:tcW w:w="1791" w:type="dxa"/>
          </w:tcPr>
          <w:p w14:paraId="6492CE1D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68B15C47" w14:textId="77777777" w:rsidTr="002A3855">
        <w:tc>
          <w:tcPr>
            <w:tcW w:w="4248" w:type="dxa"/>
          </w:tcPr>
          <w:p w14:paraId="0A341023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0A5BB5E8" w14:textId="62231F97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J_9_3</w:t>
            </w:r>
          </w:p>
        </w:tc>
        <w:tc>
          <w:tcPr>
            <w:tcW w:w="1791" w:type="dxa"/>
          </w:tcPr>
          <w:p w14:paraId="7B5E38AE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560705E7" w14:textId="77777777" w:rsidTr="002A3855">
        <w:tc>
          <w:tcPr>
            <w:tcW w:w="4248" w:type="dxa"/>
          </w:tcPr>
          <w:p w14:paraId="772DED60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37F8770F" w14:textId="6FB24E1A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K_9_3</w:t>
            </w:r>
          </w:p>
        </w:tc>
        <w:tc>
          <w:tcPr>
            <w:tcW w:w="1791" w:type="dxa"/>
          </w:tcPr>
          <w:p w14:paraId="51FC459A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37DD1BED" w14:textId="77777777" w:rsidTr="002A3855">
        <w:tc>
          <w:tcPr>
            <w:tcW w:w="4248" w:type="dxa"/>
          </w:tcPr>
          <w:p w14:paraId="667A4A67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7C85494D" w14:textId="693B9D5B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ZS_30</w:t>
            </w:r>
          </w:p>
        </w:tc>
        <w:tc>
          <w:tcPr>
            <w:tcW w:w="1791" w:type="dxa"/>
          </w:tcPr>
          <w:p w14:paraId="205A00CA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6B65B6FF" w14:textId="77777777" w:rsidTr="002A3855">
        <w:tc>
          <w:tcPr>
            <w:tcW w:w="4248" w:type="dxa"/>
          </w:tcPr>
          <w:p w14:paraId="38852512" w14:textId="52B79E74" w:rsidR="002A3855" w:rsidRDefault="00C8110D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Stochastic Oscillator</w:t>
            </w:r>
          </w:p>
        </w:tc>
        <w:tc>
          <w:tcPr>
            <w:tcW w:w="2977" w:type="dxa"/>
          </w:tcPr>
          <w:p w14:paraId="66EBF270" w14:textId="4B006F9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STOCHk_14_3_3</w:t>
            </w:r>
          </w:p>
        </w:tc>
        <w:tc>
          <w:tcPr>
            <w:tcW w:w="1791" w:type="dxa"/>
          </w:tcPr>
          <w:p w14:paraId="04C096CC" w14:textId="754267AF" w:rsidR="002A3855" w:rsidRDefault="00C8110D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Momentum</w:t>
            </w:r>
          </w:p>
        </w:tc>
      </w:tr>
      <w:tr w:rsidR="002A3855" w14:paraId="10D9D3F4" w14:textId="77777777" w:rsidTr="002A3855">
        <w:tc>
          <w:tcPr>
            <w:tcW w:w="4248" w:type="dxa"/>
          </w:tcPr>
          <w:p w14:paraId="382A38E4" w14:textId="31BE323D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Williams % R</w:t>
            </w:r>
          </w:p>
        </w:tc>
        <w:tc>
          <w:tcPr>
            <w:tcW w:w="2977" w:type="dxa"/>
          </w:tcPr>
          <w:p w14:paraId="46D55E2A" w14:textId="1837C061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WILLR_14</w:t>
            </w:r>
          </w:p>
        </w:tc>
        <w:tc>
          <w:tcPr>
            <w:tcW w:w="1791" w:type="dxa"/>
          </w:tcPr>
          <w:p w14:paraId="028A5B36" w14:textId="008FD66E" w:rsidR="002A3855" w:rsidRDefault="00C8110D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Momentum</w:t>
            </w:r>
          </w:p>
        </w:tc>
      </w:tr>
      <w:tr w:rsidR="002A3855" w14:paraId="36DB0478" w14:textId="77777777" w:rsidTr="002A3855">
        <w:tc>
          <w:tcPr>
            <w:tcW w:w="4248" w:type="dxa"/>
          </w:tcPr>
          <w:p w14:paraId="0FA4E700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443EADB0" w14:textId="79C9038F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TTM_TRND_6</w:t>
            </w:r>
          </w:p>
        </w:tc>
        <w:tc>
          <w:tcPr>
            <w:tcW w:w="1791" w:type="dxa"/>
          </w:tcPr>
          <w:p w14:paraId="339A05BD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5D8A0183" w14:textId="77777777" w:rsidTr="002A3855">
        <w:tc>
          <w:tcPr>
            <w:tcW w:w="4248" w:type="dxa"/>
          </w:tcPr>
          <w:p w14:paraId="0B473D26" w14:textId="7D7E59F6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Stochastic relative strength index</w:t>
            </w:r>
          </w:p>
        </w:tc>
        <w:tc>
          <w:tcPr>
            <w:tcW w:w="2977" w:type="dxa"/>
          </w:tcPr>
          <w:p w14:paraId="47018E35" w14:textId="1D1256E8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STOCHRSIk_14_14_3_3</w:t>
            </w:r>
          </w:p>
        </w:tc>
        <w:tc>
          <w:tcPr>
            <w:tcW w:w="1791" w:type="dxa"/>
          </w:tcPr>
          <w:p w14:paraId="21B951F6" w14:textId="1EC4A931" w:rsidR="002A3855" w:rsidRDefault="00C8110D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Momentum</w:t>
            </w:r>
          </w:p>
        </w:tc>
      </w:tr>
    </w:tbl>
    <w:p w14:paraId="78F56AD0" w14:textId="77777777" w:rsidR="001F351B" w:rsidRPr="001F351B" w:rsidRDefault="001F351B" w:rsidP="009F19CE">
      <w:pPr>
        <w:rPr>
          <w:rFonts w:ascii="Arial" w:hAnsi="Arial" w:cs="Arial"/>
          <w:lang w:val="en-US"/>
        </w:rPr>
      </w:pPr>
    </w:p>
    <w:p w14:paraId="6DC42242" w14:textId="77777777" w:rsidR="009F19CE" w:rsidRPr="001F351B" w:rsidRDefault="009F19CE" w:rsidP="009F19CE">
      <w:pPr>
        <w:rPr>
          <w:rFonts w:ascii="Arial" w:hAnsi="Arial" w:cs="Arial"/>
          <w:lang w:val="en-US"/>
        </w:rPr>
      </w:pPr>
    </w:p>
    <w:sectPr w:rsidR="009F19CE" w:rsidRPr="001F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42"/>
    <w:rsid w:val="001F351B"/>
    <w:rsid w:val="002A3855"/>
    <w:rsid w:val="003278EC"/>
    <w:rsid w:val="009F19CE"/>
    <w:rsid w:val="00B92AAA"/>
    <w:rsid w:val="00BD540C"/>
    <w:rsid w:val="00C8110D"/>
    <w:rsid w:val="00D800B7"/>
    <w:rsid w:val="00DB0996"/>
    <w:rsid w:val="00DE6191"/>
    <w:rsid w:val="00F16142"/>
    <w:rsid w:val="00F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6C62E"/>
  <w15:chartTrackingRefBased/>
  <w15:docId w15:val="{408D85FB-6A1C-4ED2-ADB8-5FF281B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Nysschens</dc:creator>
  <cp:keywords/>
  <dc:description/>
  <cp:lastModifiedBy>Emil Nysschens</cp:lastModifiedBy>
  <cp:revision>3</cp:revision>
  <dcterms:created xsi:type="dcterms:W3CDTF">2025-04-28T08:02:00Z</dcterms:created>
  <dcterms:modified xsi:type="dcterms:W3CDTF">2025-04-28T19:08:00Z</dcterms:modified>
</cp:coreProperties>
</file>