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208CD" w14:textId="00CD36FE" w:rsidR="003539E1" w:rsidRPr="00243104" w:rsidRDefault="003539E1" w:rsidP="006C1463">
      <w:pPr>
        <w:spacing w:line="360" w:lineRule="auto"/>
        <w:jc w:val="both"/>
        <w:rPr>
          <w:b/>
          <w:bCs/>
        </w:rPr>
      </w:pPr>
      <w:r w:rsidRPr="00243104">
        <w:rPr>
          <w:b/>
          <w:bCs/>
        </w:rPr>
        <w:t xml:space="preserve">Q1 </w:t>
      </w:r>
      <w:r w:rsidRPr="00243104">
        <w:rPr>
          <w:b/>
          <w:bCs/>
        </w:rPr>
        <w:t>Data Understanding</w:t>
      </w:r>
    </w:p>
    <w:p w14:paraId="60A5A386" w14:textId="75426586" w:rsidR="003539E1" w:rsidRDefault="00243104" w:rsidP="006C1463">
      <w:pPr>
        <w:spacing w:line="360" w:lineRule="auto"/>
        <w:jc w:val="both"/>
      </w:pPr>
      <w:proofErr w:type="spellStart"/>
      <w:r>
        <w:t>i</w:t>
      </w:r>
      <w:proofErr w:type="spellEnd"/>
      <w:r>
        <w:t xml:space="preserve">. </w:t>
      </w:r>
      <w:r w:rsidR="003539E1">
        <w:t xml:space="preserve">The paper mainly uses historical stock market data, specifically </w:t>
      </w:r>
      <w:r w:rsidR="003539E1">
        <w:t>daily prices</w:t>
      </w:r>
      <w:r w:rsidR="003539E1">
        <w:t xml:space="preserve"> including</w:t>
      </w:r>
      <w:r w:rsidR="003539E1">
        <w:t xml:space="preserve"> o</w:t>
      </w:r>
      <w:r w:rsidR="003539E1">
        <w:t>pening price</w:t>
      </w:r>
      <w:r w:rsidR="003539E1">
        <w:t>, c</w:t>
      </w:r>
      <w:r w:rsidR="003539E1">
        <w:t>losing price</w:t>
      </w:r>
      <w:r w:rsidR="003539E1">
        <w:t>, h</w:t>
      </w:r>
      <w:r w:rsidR="003539E1">
        <w:t>igh price</w:t>
      </w:r>
      <w:r w:rsidR="003539E1">
        <w:t>, l</w:t>
      </w:r>
      <w:r w:rsidR="003539E1">
        <w:t>ow price</w:t>
      </w:r>
      <w:r w:rsidR="003539E1">
        <w:t xml:space="preserve"> </w:t>
      </w:r>
      <w:r w:rsidR="003539E1">
        <w:t>and</w:t>
      </w:r>
      <w:r w:rsidR="003539E1">
        <w:t xml:space="preserve"> t</w:t>
      </w:r>
      <w:r w:rsidR="003539E1">
        <w:t xml:space="preserve">rading </w:t>
      </w:r>
      <w:r w:rsidR="003539E1">
        <w:t>volume</w:t>
      </w:r>
      <w:r w:rsidR="006C1463">
        <w:t>.</w:t>
      </w:r>
    </w:p>
    <w:p w14:paraId="599094B0" w14:textId="77777777" w:rsidR="00243104" w:rsidRDefault="003539E1" w:rsidP="00243104">
      <w:pPr>
        <w:spacing w:line="360" w:lineRule="auto"/>
        <w:jc w:val="both"/>
      </w:pPr>
      <w:r>
        <w:t xml:space="preserve">From this historical data, various </w:t>
      </w:r>
      <w:r>
        <w:t>technical indicators</w:t>
      </w:r>
      <w:r>
        <w:t xml:space="preserve"> are computed to capture trends and patterns.</w:t>
      </w:r>
      <w:r w:rsidR="006C1463">
        <w:t xml:space="preserve"> </w:t>
      </w:r>
      <w:r>
        <w:t>Examples of technical indicators used include</w:t>
      </w:r>
      <w:r w:rsidR="006C1463">
        <w:t xml:space="preserve"> m</w:t>
      </w:r>
      <w:r>
        <w:t xml:space="preserve">oving </w:t>
      </w:r>
      <w:r w:rsidR="006C1463">
        <w:t>averages</w:t>
      </w:r>
      <w:r>
        <w:t xml:space="preserve">, </w:t>
      </w:r>
      <w:r w:rsidR="006C1463">
        <w:t>e</w:t>
      </w:r>
      <w:r>
        <w:t xml:space="preserve">xponential </w:t>
      </w:r>
      <w:r w:rsidR="006C1463">
        <w:t xml:space="preserve">moving average, relative strength index, moving average convergence divergence, stochastic oscillator </w:t>
      </w:r>
      <w:r w:rsidR="006C1463">
        <w:t>and</w:t>
      </w:r>
      <w:r>
        <w:t xml:space="preserve"> </w:t>
      </w:r>
      <w:r w:rsidR="006C1463">
        <w:t>on-balance volume</w:t>
      </w:r>
      <w:r>
        <w:t xml:space="preserve"> (Mejia et al.)</w:t>
      </w:r>
    </w:p>
    <w:p w14:paraId="192E93E5" w14:textId="7DD46E18" w:rsidR="00243104" w:rsidRPr="00243104" w:rsidRDefault="00243104" w:rsidP="00243104">
      <w:pPr>
        <w:spacing w:line="360" w:lineRule="auto"/>
        <w:jc w:val="both"/>
      </w:pPr>
      <w:r w:rsidRPr="00243104">
        <w:t xml:space="preserve"> </w:t>
      </w:r>
    </w:p>
    <w:p w14:paraId="6CFB7768" w14:textId="44F37236" w:rsidR="00243104" w:rsidRDefault="00243104" w:rsidP="006C1463">
      <w:pPr>
        <w:spacing w:line="360" w:lineRule="auto"/>
        <w:jc w:val="both"/>
      </w:pPr>
      <w:r>
        <w:t>ii. I</w:t>
      </w:r>
      <w:r w:rsidRPr="00243104">
        <w:t>mportance of using such indicators in forecasting stock price trends</w:t>
      </w:r>
      <w:r>
        <w:t>:</w:t>
      </w:r>
    </w:p>
    <w:p w14:paraId="7A8DF39F" w14:textId="67C98153" w:rsidR="00243104" w:rsidRDefault="00243104" w:rsidP="00243104">
      <w:pPr>
        <w:spacing w:line="360" w:lineRule="auto"/>
        <w:jc w:val="both"/>
      </w:pPr>
      <w:r>
        <w:t>The transformation</w:t>
      </w:r>
      <w:r>
        <w:t xml:space="preserve"> of raw market data through mathematical methods in technical indicators enables analysts to extract meaningful patterns which reveal </w:t>
      </w:r>
      <w:r>
        <w:t>market momentum</w:t>
      </w:r>
      <w:r>
        <w:t xml:space="preserve"> and volatility and trend strength. Technical indicators transform historical price and volume data through mathematical operations to </w:t>
      </w:r>
      <w:r>
        <w:t>reveal patterns</w:t>
      </w:r>
      <w:r>
        <w:t xml:space="preserve"> which are concealed within noisy financial time series.</w:t>
      </w:r>
    </w:p>
    <w:p w14:paraId="43715406" w14:textId="6333FA77" w:rsidR="00243104" w:rsidRDefault="00243104" w:rsidP="00243104">
      <w:pPr>
        <w:spacing w:line="360" w:lineRule="auto"/>
        <w:jc w:val="both"/>
      </w:pPr>
      <w:r>
        <w:t>These indicators provide several advantages:</w:t>
      </w:r>
    </w:p>
    <w:p w14:paraId="454BDCD3" w14:textId="6A407BFE" w:rsidR="00243104" w:rsidRDefault="00243104" w:rsidP="00243104">
      <w:pPr>
        <w:pStyle w:val="ListParagraph"/>
        <w:numPr>
          <w:ilvl w:val="0"/>
          <w:numId w:val="2"/>
        </w:numPr>
        <w:spacing w:line="360" w:lineRule="auto"/>
        <w:jc w:val="both"/>
      </w:pPr>
      <w:r>
        <w:t>Moving averages and similar indicators smooth market fluctuations to help investors identify bullish or bearish trends in the market.</w:t>
      </w:r>
    </w:p>
    <w:p w14:paraId="20E25528" w14:textId="0BD98108" w:rsidR="00243104" w:rsidRDefault="00243104" w:rsidP="00AA10D5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The </w:t>
      </w:r>
      <w:r>
        <w:t>RSI and</w:t>
      </w:r>
      <w:r>
        <w:t xml:space="preserve"> Stochastic indicators along with other oscillators enable users to measure market momentum while detecting potential </w:t>
      </w:r>
      <w:r>
        <w:t>price reversals</w:t>
      </w:r>
      <w:r>
        <w:t>.</w:t>
      </w:r>
    </w:p>
    <w:p w14:paraId="0EE16C92" w14:textId="29147542" w:rsidR="00243104" w:rsidRDefault="00243104" w:rsidP="00DA78D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Bollinger Bands serve as a tool which allows models to determine market risk levels and price variability according to </w:t>
      </w:r>
      <w:r>
        <w:t>(</w:t>
      </w:r>
      <w:r>
        <w:t>Murphy</w:t>
      </w:r>
      <w:r>
        <w:t xml:space="preserve">, </w:t>
      </w:r>
      <w:r>
        <w:t>45).</w:t>
      </w:r>
    </w:p>
    <w:p w14:paraId="790EDE73" w14:textId="58D688AC" w:rsidR="00243104" w:rsidRDefault="00243104" w:rsidP="00243104">
      <w:pPr>
        <w:spacing w:line="360" w:lineRule="auto"/>
        <w:jc w:val="both"/>
      </w:pPr>
      <w:r>
        <w:t xml:space="preserve">The application of technical indicators enables machine learning models to extract vital </w:t>
      </w:r>
      <w:r>
        <w:t>patterns from</w:t>
      </w:r>
      <w:r>
        <w:t xml:space="preserve"> noisy inputs which leads to better forecasting accuracy. The use of processed features obtained from technical indicators </w:t>
      </w:r>
      <w:r>
        <w:t>leads to</w:t>
      </w:r>
      <w:r>
        <w:t xml:space="preserve"> better generali</w:t>
      </w:r>
      <w:r w:rsidR="00E05D4D">
        <w:t>s</w:t>
      </w:r>
      <w:r>
        <w:t>ation and financial interpretation of model predictions compared to using raw prices.</w:t>
      </w:r>
    </w:p>
    <w:p w14:paraId="76480BA0" w14:textId="77777777" w:rsidR="00243104" w:rsidRDefault="00243104" w:rsidP="00243104">
      <w:pPr>
        <w:spacing w:line="360" w:lineRule="auto"/>
        <w:jc w:val="both"/>
      </w:pPr>
    </w:p>
    <w:p w14:paraId="3603B7E8" w14:textId="77777777" w:rsidR="00243104" w:rsidRDefault="00243104" w:rsidP="00243104">
      <w:pPr>
        <w:spacing w:line="360" w:lineRule="auto"/>
        <w:jc w:val="both"/>
      </w:pPr>
    </w:p>
    <w:p w14:paraId="38CF9A5D" w14:textId="77777777" w:rsidR="00243104" w:rsidRDefault="00243104" w:rsidP="00243104">
      <w:pPr>
        <w:spacing w:line="360" w:lineRule="auto"/>
        <w:jc w:val="both"/>
      </w:pPr>
    </w:p>
    <w:p w14:paraId="30D5786A" w14:textId="77777777" w:rsidR="00243104" w:rsidRDefault="00243104" w:rsidP="00243104">
      <w:pPr>
        <w:spacing w:line="360" w:lineRule="auto"/>
        <w:jc w:val="both"/>
      </w:pPr>
    </w:p>
    <w:p w14:paraId="2F47274B" w14:textId="77777777" w:rsidR="00243104" w:rsidRDefault="00243104" w:rsidP="00243104">
      <w:pPr>
        <w:spacing w:line="360" w:lineRule="auto"/>
        <w:jc w:val="both"/>
      </w:pPr>
    </w:p>
    <w:p w14:paraId="43E64E8E" w14:textId="77777777" w:rsidR="00243104" w:rsidRDefault="00243104" w:rsidP="00243104">
      <w:pPr>
        <w:spacing w:line="360" w:lineRule="auto"/>
        <w:jc w:val="both"/>
      </w:pPr>
    </w:p>
    <w:p w14:paraId="10D54225" w14:textId="77777777" w:rsidR="00243104" w:rsidRDefault="00243104" w:rsidP="00243104">
      <w:pPr>
        <w:spacing w:line="360" w:lineRule="auto"/>
        <w:jc w:val="both"/>
      </w:pPr>
    </w:p>
    <w:p w14:paraId="0C82E8CE" w14:textId="77777777" w:rsidR="00243104" w:rsidRDefault="00243104" w:rsidP="00243104">
      <w:pPr>
        <w:spacing w:line="360" w:lineRule="auto"/>
        <w:jc w:val="both"/>
      </w:pPr>
    </w:p>
    <w:p w14:paraId="04272407" w14:textId="77777777" w:rsidR="00243104" w:rsidRDefault="00243104" w:rsidP="00243104">
      <w:pPr>
        <w:spacing w:line="360" w:lineRule="auto"/>
        <w:jc w:val="both"/>
      </w:pPr>
    </w:p>
    <w:p w14:paraId="7EAA8C2C" w14:textId="77777777" w:rsidR="00243104" w:rsidRDefault="00243104" w:rsidP="00243104">
      <w:pPr>
        <w:spacing w:line="360" w:lineRule="auto"/>
        <w:jc w:val="both"/>
      </w:pPr>
    </w:p>
    <w:p w14:paraId="076A0BD0" w14:textId="70AA1651" w:rsidR="008A5BEC" w:rsidRPr="008A5BEC" w:rsidRDefault="008A5BEC" w:rsidP="008A5BEC">
      <w:pPr>
        <w:spacing w:line="360" w:lineRule="auto"/>
        <w:jc w:val="both"/>
        <w:rPr>
          <w:b/>
          <w:bCs/>
        </w:rPr>
      </w:pPr>
      <w:r w:rsidRPr="003632E6">
        <w:rPr>
          <w:b/>
          <w:bCs/>
        </w:rPr>
        <w:lastRenderedPageBreak/>
        <w:t>Q2</w:t>
      </w:r>
      <w:r w:rsidR="003632E6">
        <w:rPr>
          <w:b/>
          <w:bCs/>
        </w:rPr>
        <w:t>.</w:t>
      </w:r>
      <w:r w:rsidRPr="003632E6">
        <w:rPr>
          <w:b/>
          <w:bCs/>
        </w:rPr>
        <w:t xml:space="preserve"> </w:t>
      </w:r>
      <w:r w:rsidRPr="003632E6">
        <w:rPr>
          <w:b/>
          <w:bCs/>
        </w:rPr>
        <w:t>S</w:t>
      </w:r>
      <w:r w:rsidRPr="008A5BEC">
        <w:rPr>
          <w:b/>
          <w:bCs/>
        </w:rPr>
        <w:t>ecurity Understanding: IVV (iShares Core S&amp;P 500 ETF)</w:t>
      </w:r>
    </w:p>
    <w:p w14:paraId="72151DA9" w14:textId="48E499EF" w:rsidR="008A5BEC" w:rsidRDefault="008A5BEC" w:rsidP="008A5BEC">
      <w:pPr>
        <w:spacing w:line="360" w:lineRule="auto"/>
        <w:jc w:val="both"/>
      </w:pPr>
      <w:r w:rsidRPr="008A5BEC">
        <w:rPr>
          <w:b/>
          <w:bCs/>
        </w:rPr>
        <w:t xml:space="preserve">Fund </w:t>
      </w:r>
      <w:r w:rsidR="008945E1" w:rsidRPr="008A5BEC">
        <w:rPr>
          <w:b/>
          <w:bCs/>
        </w:rPr>
        <w:t>overview</w:t>
      </w:r>
      <w:r w:rsidRPr="008A5BEC">
        <w:rPr>
          <w:b/>
          <w:bCs/>
        </w:rPr>
        <w:t>:</w:t>
      </w:r>
    </w:p>
    <w:p w14:paraId="0A53D7AC" w14:textId="1193E717" w:rsidR="008A5BEC" w:rsidRPr="008A5BEC" w:rsidRDefault="008A5BEC" w:rsidP="008A5BEC">
      <w:pPr>
        <w:spacing w:line="360" w:lineRule="auto"/>
        <w:jc w:val="both"/>
      </w:pPr>
      <w:r w:rsidRPr="008A5BEC">
        <w:t>The iShares Core S&amp;P 500 ETF (ticker: IVV) is a passively managed exchange-traded fund (ETF) designed to track the performance of the S&amp;P 500 Index, representing 500 of the largest publicly traded U.S. companies. Managed by BlackRock, IVV provides investors with broad exposure to the U.S. large-cap equity market, covering sectors like technology, healthcare, financials, and consumer discretionary.</w:t>
      </w:r>
    </w:p>
    <w:p w14:paraId="4D85A24C" w14:textId="03744035" w:rsidR="008A5BEC" w:rsidRPr="008A5BEC" w:rsidRDefault="008A5BEC" w:rsidP="008A5BEC">
      <w:pPr>
        <w:spacing w:line="360" w:lineRule="auto"/>
        <w:jc w:val="both"/>
      </w:pPr>
      <w:r w:rsidRPr="008A5BEC">
        <w:rPr>
          <w:b/>
          <w:bCs/>
        </w:rPr>
        <w:t xml:space="preserve">Asset </w:t>
      </w:r>
      <w:r w:rsidR="008945E1" w:rsidRPr="008A5BEC">
        <w:rPr>
          <w:b/>
          <w:bCs/>
        </w:rPr>
        <w:t>type</w:t>
      </w:r>
      <w:r w:rsidRPr="008A5BEC">
        <w:rPr>
          <w:b/>
          <w:bCs/>
        </w:rPr>
        <w:t>:</w:t>
      </w:r>
    </w:p>
    <w:p w14:paraId="1AB01C06" w14:textId="77777777" w:rsidR="008A5BEC" w:rsidRPr="008A5BEC" w:rsidRDefault="008A5BEC" w:rsidP="008A5BEC">
      <w:pPr>
        <w:numPr>
          <w:ilvl w:val="0"/>
          <w:numId w:val="3"/>
        </w:numPr>
        <w:spacing w:line="360" w:lineRule="auto"/>
        <w:jc w:val="both"/>
      </w:pPr>
      <w:r w:rsidRPr="008A5BEC">
        <w:t>Type: Equity ETF</w:t>
      </w:r>
    </w:p>
    <w:p w14:paraId="712FC08F" w14:textId="77777777" w:rsidR="008A5BEC" w:rsidRPr="008A5BEC" w:rsidRDefault="008A5BEC" w:rsidP="008A5BEC">
      <w:pPr>
        <w:numPr>
          <w:ilvl w:val="0"/>
          <w:numId w:val="3"/>
        </w:numPr>
        <w:spacing w:line="360" w:lineRule="auto"/>
        <w:jc w:val="both"/>
      </w:pPr>
      <w:r w:rsidRPr="008A5BEC">
        <w:t>Underlying Index: S&amp;P 500 Index</w:t>
      </w:r>
    </w:p>
    <w:p w14:paraId="4FFB187F" w14:textId="77777777" w:rsidR="008A5BEC" w:rsidRPr="008A5BEC" w:rsidRDefault="008A5BEC" w:rsidP="008A5BEC">
      <w:pPr>
        <w:numPr>
          <w:ilvl w:val="0"/>
          <w:numId w:val="3"/>
        </w:numPr>
        <w:spacing w:line="360" w:lineRule="auto"/>
        <w:jc w:val="both"/>
      </w:pPr>
      <w:r w:rsidRPr="008A5BEC">
        <w:t>Holdings: Approximately 500 large-cap U.S. stocks</w:t>
      </w:r>
    </w:p>
    <w:p w14:paraId="6EE7A55D" w14:textId="50A89394" w:rsidR="008A5BEC" w:rsidRPr="008A5BEC" w:rsidRDefault="008A5BEC" w:rsidP="008A5BEC">
      <w:pPr>
        <w:numPr>
          <w:ilvl w:val="0"/>
          <w:numId w:val="3"/>
        </w:numPr>
        <w:spacing w:line="360" w:lineRule="auto"/>
        <w:jc w:val="both"/>
      </w:pPr>
      <w:r w:rsidRPr="008A5BEC">
        <w:t>Top Holdings: Apple, Microsoft, Ama</w:t>
      </w:r>
      <w:r w:rsidR="00E05D4D">
        <w:t>s</w:t>
      </w:r>
      <w:r w:rsidRPr="008A5BEC">
        <w:t>on, NVIDIA, Alphabet</w:t>
      </w:r>
    </w:p>
    <w:p w14:paraId="05DC2820" w14:textId="1505865F" w:rsidR="008A5BEC" w:rsidRDefault="008A5BEC" w:rsidP="008A5BEC">
      <w:pPr>
        <w:spacing w:line="360" w:lineRule="auto"/>
        <w:jc w:val="both"/>
      </w:pPr>
      <w:r w:rsidRPr="008A5BEC">
        <w:rPr>
          <w:b/>
          <w:bCs/>
        </w:rPr>
        <w:t xml:space="preserve">Historical </w:t>
      </w:r>
      <w:r w:rsidR="008945E1" w:rsidRPr="008A5BEC">
        <w:rPr>
          <w:b/>
          <w:bCs/>
        </w:rPr>
        <w:t>price performance:</w:t>
      </w:r>
    </w:p>
    <w:p w14:paraId="47BFC9D6" w14:textId="7F8E017D" w:rsidR="008A5BEC" w:rsidRPr="008A5BEC" w:rsidRDefault="008A5BEC" w:rsidP="008A5BEC">
      <w:pPr>
        <w:spacing w:line="360" w:lineRule="auto"/>
        <w:jc w:val="both"/>
      </w:pPr>
      <w:r w:rsidRPr="008A5BEC">
        <w:t xml:space="preserve">Since its inception in </w:t>
      </w:r>
      <w:r w:rsidRPr="008A5BEC">
        <w:rPr>
          <w:b/>
          <w:bCs/>
        </w:rPr>
        <w:t>May 2000</w:t>
      </w:r>
      <w:r w:rsidRPr="008A5BEC">
        <w:t>, IVV has demonstrated strong long-term performance, mirroring the historical growth trajectory of the S&amp;P 500.</w:t>
      </w:r>
    </w:p>
    <w:p w14:paraId="23AEE3B2" w14:textId="5FB2E64F" w:rsidR="008A5BEC" w:rsidRPr="008A5BEC" w:rsidRDefault="008A5BEC" w:rsidP="008A5BEC">
      <w:pPr>
        <w:numPr>
          <w:ilvl w:val="0"/>
          <w:numId w:val="4"/>
        </w:numPr>
        <w:spacing w:line="360" w:lineRule="auto"/>
        <w:jc w:val="both"/>
      </w:pPr>
      <w:r w:rsidRPr="008A5BEC">
        <w:t>2000</w:t>
      </w:r>
      <w:r>
        <w:t xml:space="preserve"> </w:t>
      </w:r>
      <w:r w:rsidRPr="008A5BEC">
        <w:t>–</w:t>
      </w:r>
      <w:r>
        <w:t xml:space="preserve"> </w:t>
      </w:r>
      <w:r w:rsidRPr="008A5BEC">
        <w:t>2010: Modest growth with significant volatility due to the Dot-com crash and 2008 Financial Crisis.</w:t>
      </w:r>
    </w:p>
    <w:p w14:paraId="0761EC0C" w14:textId="7240FA7A" w:rsidR="008A5BEC" w:rsidRPr="008A5BEC" w:rsidRDefault="008A5BEC" w:rsidP="008A5BEC">
      <w:pPr>
        <w:numPr>
          <w:ilvl w:val="0"/>
          <w:numId w:val="4"/>
        </w:numPr>
        <w:spacing w:line="360" w:lineRule="auto"/>
        <w:jc w:val="both"/>
      </w:pPr>
      <w:r w:rsidRPr="008A5BEC">
        <w:t>2010</w:t>
      </w:r>
      <w:r>
        <w:t xml:space="preserve"> </w:t>
      </w:r>
      <w:r w:rsidRPr="008A5BEC">
        <w:t>–</w:t>
      </w:r>
      <w:r>
        <w:t xml:space="preserve"> </w:t>
      </w:r>
      <w:r w:rsidRPr="008A5BEC">
        <w:t xml:space="preserve">2020: Strong bull market performance, </w:t>
      </w:r>
      <w:r w:rsidRPr="008A5BEC">
        <w:t>fuelled</w:t>
      </w:r>
      <w:r w:rsidRPr="008A5BEC">
        <w:t xml:space="preserve"> by technology sector growth.</w:t>
      </w:r>
    </w:p>
    <w:p w14:paraId="52A94DAB" w14:textId="4DCA182B" w:rsidR="008A5BEC" w:rsidRPr="008A5BEC" w:rsidRDefault="008A5BEC" w:rsidP="008A5BEC">
      <w:pPr>
        <w:numPr>
          <w:ilvl w:val="0"/>
          <w:numId w:val="4"/>
        </w:numPr>
        <w:spacing w:line="360" w:lineRule="auto"/>
        <w:jc w:val="both"/>
      </w:pPr>
      <w:r w:rsidRPr="008A5BEC">
        <w:t>2020</w:t>
      </w:r>
      <w:r>
        <w:t xml:space="preserve"> </w:t>
      </w:r>
      <w:r w:rsidRPr="008A5BEC">
        <w:t>–</w:t>
      </w:r>
      <w:r>
        <w:t xml:space="preserve"> </w:t>
      </w:r>
      <w:r w:rsidRPr="008A5BEC">
        <w:t>Present: Recovery from the COVID-19 market crash, followed by volatility from interest rate hikes in 2022-2023.</w:t>
      </w:r>
    </w:p>
    <w:p w14:paraId="441573A2" w14:textId="031D0160" w:rsidR="008A5BEC" w:rsidRPr="008A5BEC" w:rsidRDefault="008A5BEC" w:rsidP="008A5BEC">
      <w:pPr>
        <w:spacing w:line="360" w:lineRule="auto"/>
        <w:jc w:val="both"/>
      </w:pPr>
      <w:r w:rsidRPr="008A5BEC">
        <w:rPr>
          <w:b/>
          <w:bCs/>
        </w:rPr>
        <w:t xml:space="preserve">Key </w:t>
      </w:r>
      <w:r w:rsidR="008945E1" w:rsidRPr="008A5BEC">
        <w:rPr>
          <w:b/>
          <w:bCs/>
        </w:rPr>
        <w:t>historical statistics</w:t>
      </w:r>
      <w:r w:rsidRPr="008A5BEC">
        <w:rPr>
          <w:b/>
          <w:bCs/>
        </w:rPr>
        <w:t>:</w:t>
      </w:r>
    </w:p>
    <w:p w14:paraId="0601F7E1" w14:textId="22BB2019" w:rsidR="008A5BEC" w:rsidRPr="008A5BEC" w:rsidRDefault="008A5BEC" w:rsidP="008A5BEC">
      <w:pPr>
        <w:numPr>
          <w:ilvl w:val="0"/>
          <w:numId w:val="5"/>
        </w:numPr>
        <w:spacing w:line="360" w:lineRule="auto"/>
        <w:jc w:val="both"/>
      </w:pPr>
      <w:r w:rsidRPr="008A5BEC">
        <w:t>Annuali</w:t>
      </w:r>
      <w:r w:rsidR="00E05D4D">
        <w:t>s</w:t>
      </w:r>
      <w:r w:rsidRPr="008A5BEC">
        <w:t>ed 10-Year Return (as of 2024): ~11%</w:t>
      </w:r>
    </w:p>
    <w:p w14:paraId="148F270B" w14:textId="77777777" w:rsidR="008A5BEC" w:rsidRPr="008A5BEC" w:rsidRDefault="008A5BEC" w:rsidP="008A5BEC">
      <w:pPr>
        <w:numPr>
          <w:ilvl w:val="0"/>
          <w:numId w:val="5"/>
        </w:numPr>
        <w:spacing w:line="360" w:lineRule="auto"/>
        <w:jc w:val="both"/>
      </w:pPr>
      <w:r w:rsidRPr="008A5BEC">
        <w:t>Expense Ratio: 0.03% (one of the lowest among ETFs)</w:t>
      </w:r>
    </w:p>
    <w:p w14:paraId="52D97C3B" w14:textId="77777777" w:rsidR="008A5BEC" w:rsidRPr="008A5BEC" w:rsidRDefault="008A5BEC" w:rsidP="008A5BEC">
      <w:pPr>
        <w:numPr>
          <w:ilvl w:val="0"/>
          <w:numId w:val="5"/>
        </w:numPr>
        <w:spacing w:line="360" w:lineRule="auto"/>
        <w:jc w:val="both"/>
      </w:pPr>
      <w:r w:rsidRPr="008A5BEC">
        <w:t>Dividend Yield: Approximately 1.4%</w:t>
      </w:r>
    </w:p>
    <w:p w14:paraId="7C7FB5DA" w14:textId="77777777" w:rsidR="008A5BEC" w:rsidRPr="008A5BEC" w:rsidRDefault="008A5BEC" w:rsidP="008A5BEC">
      <w:pPr>
        <w:numPr>
          <w:ilvl w:val="0"/>
          <w:numId w:val="5"/>
        </w:numPr>
        <w:spacing w:line="360" w:lineRule="auto"/>
        <w:jc w:val="both"/>
      </w:pPr>
      <w:r w:rsidRPr="008A5BEC">
        <w:t>Assets Under Management (AUM): Over $300 billion</w:t>
      </w:r>
    </w:p>
    <w:p w14:paraId="4A7064E8" w14:textId="11ECE432" w:rsidR="008A5BEC" w:rsidRPr="008A5BEC" w:rsidRDefault="008A5BEC" w:rsidP="008A5BEC">
      <w:pPr>
        <w:spacing w:line="360" w:lineRule="auto"/>
        <w:jc w:val="both"/>
      </w:pPr>
      <w:r w:rsidRPr="008A5BEC">
        <w:rPr>
          <w:b/>
          <w:bCs/>
        </w:rPr>
        <w:t xml:space="preserve">Price </w:t>
      </w:r>
      <w:r w:rsidR="008945E1" w:rsidRPr="008A5BEC">
        <w:rPr>
          <w:b/>
          <w:bCs/>
        </w:rPr>
        <w:t>snapshot</w:t>
      </w:r>
      <w:r w:rsidRPr="008A5BEC">
        <w:rPr>
          <w:b/>
          <w:bCs/>
        </w:rPr>
        <w:t>:</w:t>
      </w:r>
    </w:p>
    <w:p w14:paraId="54DBE3BC" w14:textId="77777777" w:rsidR="008A5BEC" w:rsidRPr="008A5BEC" w:rsidRDefault="008A5BEC" w:rsidP="008A5BEC">
      <w:pPr>
        <w:numPr>
          <w:ilvl w:val="0"/>
          <w:numId w:val="6"/>
        </w:numPr>
        <w:spacing w:line="360" w:lineRule="auto"/>
        <w:jc w:val="both"/>
      </w:pPr>
      <w:r w:rsidRPr="008A5BEC">
        <w:t>All-time High: Around $480 (early 2022)</w:t>
      </w:r>
    </w:p>
    <w:p w14:paraId="12BC79C4" w14:textId="77777777" w:rsidR="008A5BEC" w:rsidRPr="008A5BEC" w:rsidRDefault="008A5BEC" w:rsidP="008A5BEC">
      <w:pPr>
        <w:numPr>
          <w:ilvl w:val="0"/>
          <w:numId w:val="6"/>
        </w:numPr>
        <w:spacing w:line="360" w:lineRule="auto"/>
        <w:jc w:val="both"/>
      </w:pPr>
      <w:r w:rsidRPr="008A5BEC">
        <w:t>Recent Price (April 2025): Approximately $450</w:t>
      </w:r>
    </w:p>
    <w:p w14:paraId="63981F34" w14:textId="77777777" w:rsidR="008A5BEC" w:rsidRPr="008A5BEC" w:rsidRDefault="008A5BEC" w:rsidP="008A5BEC">
      <w:pPr>
        <w:numPr>
          <w:ilvl w:val="0"/>
          <w:numId w:val="6"/>
        </w:numPr>
        <w:spacing w:line="360" w:lineRule="auto"/>
        <w:jc w:val="both"/>
      </w:pPr>
      <w:r w:rsidRPr="008A5BEC">
        <w:t>52-week Range: $390–$460</w:t>
      </w:r>
    </w:p>
    <w:p w14:paraId="5DF20746" w14:textId="27DA3ACB" w:rsidR="008A5BEC" w:rsidRPr="008A5BEC" w:rsidRDefault="008A5BEC" w:rsidP="008A5BEC">
      <w:pPr>
        <w:spacing w:line="360" w:lineRule="auto"/>
        <w:jc w:val="both"/>
      </w:pPr>
      <w:r w:rsidRPr="008A5BEC">
        <w:rPr>
          <w:b/>
          <w:bCs/>
        </w:rPr>
        <w:t xml:space="preserve">Other </w:t>
      </w:r>
      <w:r w:rsidR="008945E1" w:rsidRPr="008A5BEC">
        <w:rPr>
          <w:b/>
          <w:bCs/>
        </w:rPr>
        <w:t>notable features</w:t>
      </w:r>
      <w:r w:rsidRPr="008A5BEC">
        <w:rPr>
          <w:b/>
          <w:bCs/>
        </w:rPr>
        <w:t>:</w:t>
      </w:r>
    </w:p>
    <w:p w14:paraId="290DEC29" w14:textId="77777777" w:rsidR="008A5BEC" w:rsidRPr="008A5BEC" w:rsidRDefault="008A5BEC" w:rsidP="008A5BEC">
      <w:pPr>
        <w:numPr>
          <w:ilvl w:val="0"/>
          <w:numId w:val="7"/>
        </w:numPr>
        <w:spacing w:line="360" w:lineRule="auto"/>
        <w:jc w:val="both"/>
      </w:pPr>
      <w:r w:rsidRPr="008A5BEC">
        <w:t>Liquidity: Highly liquid with narrow bid-ask spreads.</w:t>
      </w:r>
    </w:p>
    <w:p w14:paraId="1629B1AC" w14:textId="77777777" w:rsidR="008A5BEC" w:rsidRPr="008A5BEC" w:rsidRDefault="008A5BEC" w:rsidP="008A5BEC">
      <w:pPr>
        <w:numPr>
          <w:ilvl w:val="0"/>
          <w:numId w:val="7"/>
        </w:numPr>
        <w:spacing w:line="360" w:lineRule="auto"/>
        <w:jc w:val="both"/>
      </w:pPr>
      <w:r w:rsidRPr="008A5BEC">
        <w:t>Suitability: Often used by long-term investors seeking exposure to the overall U.S. economy with a low-cost, diversified vehicle.</w:t>
      </w:r>
    </w:p>
    <w:p w14:paraId="5891BF9E" w14:textId="77777777" w:rsidR="008A5BEC" w:rsidRPr="008A5BEC" w:rsidRDefault="008A5BEC" w:rsidP="008A5BEC">
      <w:pPr>
        <w:numPr>
          <w:ilvl w:val="0"/>
          <w:numId w:val="7"/>
        </w:numPr>
        <w:spacing w:line="360" w:lineRule="auto"/>
        <w:jc w:val="both"/>
      </w:pPr>
      <w:r w:rsidRPr="008A5BEC">
        <w:t>Risk: Market risk tied to the broader performance of the U.S. economy and large-cap stocks.</w:t>
      </w:r>
    </w:p>
    <w:p w14:paraId="71EA6DEF" w14:textId="035E21D2" w:rsidR="003632E6" w:rsidRPr="00E05D4D" w:rsidRDefault="003632E6" w:rsidP="003632E6">
      <w:pPr>
        <w:spacing w:line="360" w:lineRule="auto"/>
        <w:jc w:val="both"/>
        <w:rPr>
          <w:b/>
          <w:bCs/>
        </w:rPr>
      </w:pPr>
      <w:r w:rsidRPr="00E05D4D">
        <w:rPr>
          <w:b/>
          <w:bCs/>
        </w:rPr>
        <w:lastRenderedPageBreak/>
        <w:t>Classification v</w:t>
      </w:r>
      <w:r w:rsidR="00E05D4D">
        <w:rPr>
          <w:b/>
          <w:bCs/>
        </w:rPr>
        <w:t>er</w:t>
      </w:r>
      <w:r w:rsidRPr="00E05D4D">
        <w:rPr>
          <w:b/>
          <w:bCs/>
        </w:rPr>
        <w:t>s</w:t>
      </w:r>
      <w:r w:rsidR="00E05D4D">
        <w:rPr>
          <w:b/>
          <w:bCs/>
        </w:rPr>
        <w:t xml:space="preserve">us </w:t>
      </w:r>
      <w:r w:rsidRPr="00E05D4D">
        <w:rPr>
          <w:b/>
          <w:bCs/>
        </w:rPr>
        <w:t>Regression</w:t>
      </w:r>
    </w:p>
    <w:p w14:paraId="30775B45" w14:textId="55C82AC3" w:rsidR="003632E6" w:rsidRDefault="003632E6" w:rsidP="003632E6">
      <w:pPr>
        <w:spacing w:line="360" w:lineRule="auto"/>
        <w:jc w:val="both"/>
      </w:pPr>
      <w:r>
        <w:t xml:space="preserve">The authors selected classification instead of regression because they wanted to predict stock market direction between rise and fall rather than future price </w:t>
      </w:r>
      <w:r>
        <w:t>values (</w:t>
      </w:r>
      <w:r>
        <w:t>Mejia et al.</w:t>
      </w:r>
      <w:r w:rsidR="00592CB3">
        <w:t>, 9</w:t>
      </w:r>
      <w:r>
        <w:t>).</w:t>
      </w:r>
      <w:r>
        <w:t xml:space="preserve"> </w:t>
      </w:r>
      <w:r>
        <w:t xml:space="preserve">The </w:t>
      </w:r>
      <w:proofErr w:type="spellStart"/>
      <w:r>
        <w:t>modeling</w:t>
      </w:r>
      <w:proofErr w:type="spellEnd"/>
      <w:r>
        <w:t xml:space="preserve"> task becomes easier through classification because it transforms </w:t>
      </w:r>
      <w:r>
        <w:t>into a</w:t>
      </w:r>
      <w:r>
        <w:t xml:space="preserve"> simple binary decision between rise and fall which traders find more useful. The </w:t>
      </w:r>
      <w:r>
        <w:t>evaluation becomes</w:t>
      </w:r>
      <w:r>
        <w:t xml:space="preserve"> simpler with accuracy and F1-score instead of RMSE and the model complexity decreases while </w:t>
      </w:r>
      <w:r>
        <w:t>preventing overfitting</w:t>
      </w:r>
      <w:r>
        <w:t xml:space="preserve"> to price fluctuations' noise.</w:t>
      </w:r>
    </w:p>
    <w:p w14:paraId="501DB9E0" w14:textId="13F111C0" w:rsidR="003632E6" w:rsidRDefault="003632E6" w:rsidP="003632E6">
      <w:pPr>
        <w:spacing w:line="360" w:lineRule="auto"/>
        <w:jc w:val="both"/>
      </w:pPr>
      <w:r>
        <w:t>The authors could have defined their classification variable through two different approaches:</w:t>
      </w:r>
    </w:p>
    <w:p w14:paraId="089B9BFA" w14:textId="773F9D40" w:rsidR="003632E6" w:rsidRDefault="003632E6" w:rsidP="003632E6">
      <w:pPr>
        <w:spacing w:line="360" w:lineRule="auto"/>
        <w:jc w:val="both"/>
      </w:pPr>
      <w:r>
        <w:t xml:space="preserve"> </w:t>
      </w:r>
      <w:r w:rsidRPr="003632E6">
        <w:rPr>
          <w:b/>
          <w:bCs/>
        </w:rPr>
        <w:t>Thre</w:t>
      </w:r>
      <w:r w:rsidRPr="003632E6">
        <w:rPr>
          <w:b/>
          <w:bCs/>
        </w:rPr>
        <w:t>shold-based movement:</w:t>
      </w:r>
      <w:r>
        <w:t xml:space="preserve"> </w:t>
      </w:r>
      <w:r>
        <w:t>The classification should focus on the magnitude of changes instead of any movement. For example:</w:t>
      </w:r>
    </w:p>
    <w:p w14:paraId="15E070A2" w14:textId="423B9C54" w:rsidR="003632E6" w:rsidRDefault="003632E6" w:rsidP="003632E6">
      <w:pPr>
        <w:pStyle w:val="ListParagraph"/>
        <w:numPr>
          <w:ilvl w:val="0"/>
          <w:numId w:val="8"/>
        </w:numPr>
        <w:spacing w:line="360" w:lineRule="auto"/>
        <w:jc w:val="both"/>
      </w:pPr>
      <w:r>
        <w:t>The model should classify the day as up when daily return exceeds +0.5%.</w:t>
      </w:r>
    </w:p>
    <w:p w14:paraId="7C216061" w14:textId="1F4833DF" w:rsidR="003632E6" w:rsidRDefault="003632E6" w:rsidP="003632E6">
      <w:pPr>
        <w:pStyle w:val="ListParagraph"/>
        <w:numPr>
          <w:ilvl w:val="0"/>
          <w:numId w:val="8"/>
        </w:numPr>
        <w:spacing w:line="360" w:lineRule="auto"/>
        <w:jc w:val="both"/>
      </w:pPr>
      <w:r>
        <w:t>The model should classify days with returns below -0.5% as down.</w:t>
      </w:r>
    </w:p>
    <w:p w14:paraId="3CC2F8A6" w14:textId="591F5406" w:rsidR="003632E6" w:rsidRDefault="003632E6" w:rsidP="00C7437F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The </w:t>
      </w:r>
      <w:r>
        <w:t>model should</w:t>
      </w:r>
      <w:r>
        <w:t xml:space="preserve"> classify days with returns between -0.5% and +0.5% as neutral.</w:t>
      </w:r>
    </w:p>
    <w:p w14:paraId="012FDEA9" w14:textId="1603119E" w:rsidR="003632E6" w:rsidRDefault="003632E6" w:rsidP="003632E6">
      <w:pPr>
        <w:spacing w:line="360" w:lineRule="auto"/>
        <w:jc w:val="both"/>
      </w:pPr>
      <w:r>
        <w:t xml:space="preserve"> </w:t>
      </w:r>
      <w:r w:rsidRPr="003632E6">
        <w:rPr>
          <w:b/>
          <w:bCs/>
        </w:rPr>
        <w:t>Vol</w:t>
      </w:r>
      <w:r w:rsidRPr="003632E6">
        <w:rPr>
          <w:b/>
          <w:bCs/>
        </w:rPr>
        <w:t>atility-adjusted classes:</w:t>
      </w:r>
      <w:r>
        <w:rPr>
          <w:b/>
          <w:bCs/>
        </w:rPr>
        <w:t xml:space="preserve"> </w:t>
      </w:r>
      <w:r>
        <w:t>The classification system should use volatility bands to determine its categories.</w:t>
      </w:r>
    </w:p>
    <w:p w14:paraId="0A363E66" w14:textId="77777777" w:rsidR="003632E6" w:rsidRDefault="003632E6" w:rsidP="003632E6">
      <w:pPr>
        <w:pStyle w:val="ListParagraph"/>
        <w:numPr>
          <w:ilvl w:val="0"/>
          <w:numId w:val="9"/>
        </w:numPr>
        <w:spacing w:line="360" w:lineRule="auto"/>
        <w:jc w:val="both"/>
      </w:pPr>
      <w:r>
        <w:t>Standard deviation of past returns should determine what constitutes significant market movement.</w:t>
      </w:r>
    </w:p>
    <w:p w14:paraId="5BF73894" w14:textId="77777777" w:rsidR="003632E6" w:rsidRDefault="003632E6" w:rsidP="003632E6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The model should classify returns as </w:t>
      </w:r>
      <w:r>
        <w:t>significant up</w:t>
      </w:r>
      <w:r>
        <w:t xml:space="preserve"> when they exceed one standard deviation above the mean.</w:t>
      </w:r>
    </w:p>
    <w:p w14:paraId="37B2DC4B" w14:textId="77777777" w:rsidR="003632E6" w:rsidRDefault="003632E6" w:rsidP="003632E6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The model should classify returns as </w:t>
      </w:r>
      <w:r>
        <w:t xml:space="preserve">significant down </w:t>
      </w:r>
      <w:r>
        <w:t>when they fall below one standard deviation below the mean.</w:t>
      </w:r>
    </w:p>
    <w:p w14:paraId="2C81961D" w14:textId="101BBCAF" w:rsidR="00243104" w:rsidRDefault="003632E6" w:rsidP="003632E6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The remaining cases should be classified </w:t>
      </w:r>
      <w:r w:rsidR="008B6400">
        <w:t>as no</w:t>
      </w:r>
      <w:r>
        <w:t xml:space="preserve"> significant change.</w:t>
      </w:r>
    </w:p>
    <w:p w14:paraId="0537A511" w14:textId="77777777" w:rsidR="00243104" w:rsidRDefault="00243104" w:rsidP="00243104">
      <w:pPr>
        <w:spacing w:line="360" w:lineRule="auto"/>
        <w:jc w:val="both"/>
      </w:pPr>
    </w:p>
    <w:p w14:paraId="7DF283A7" w14:textId="77777777" w:rsidR="00243104" w:rsidRDefault="00243104" w:rsidP="00243104">
      <w:pPr>
        <w:spacing w:line="360" w:lineRule="auto"/>
        <w:jc w:val="both"/>
      </w:pPr>
    </w:p>
    <w:p w14:paraId="4A1BCDA6" w14:textId="77777777" w:rsidR="00243104" w:rsidRDefault="00243104" w:rsidP="00243104">
      <w:pPr>
        <w:spacing w:line="360" w:lineRule="auto"/>
        <w:jc w:val="both"/>
      </w:pPr>
    </w:p>
    <w:p w14:paraId="3C13F2A8" w14:textId="77777777" w:rsidR="00243104" w:rsidRDefault="00243104" w:rsidP="00243104">
      <w:pPr>
        <w:spacing w:line="360" w:lineRule="auto"/>
        <w:jc w:val="both"/>
      </w:pPr>
    </w:p>
    <w:p w14:paraId="0D416EB3" w14:textId="77777777" w:rsidR="00243104" w:rsidRDefault="00243104" w:rsidP="00243104">
      <w:pPr>
        <w:spacing w:line="360" w:lineRule="auto"/>
        <w:jc w:val="both"/>
      </w:pPr>
    </w:p>
    <w:p w14:paraId="2056C2A1" w14:textId="77777777" w:rsidR="00243104" w:rsidRDefault="00243104" w:rsidP="00243104">
      <w:pPr>
        <w:spacing w:line="360" w:lineRule="auto"/>
        <w:jc w:val="both"/>
      </w:pPr>
    </w:p>
    <w:p w14:paraId="22B1FB10" w14:textId="77777777" w:rsidR="00243104" w:rsidRDefault="00243104" w:rsidP="00243104">
      <w:pPr>
        <w:spacing w:line="360" w:lineRule="auto"/>
        <w:jc w:val="both"/>
      </w:pPr>
    </w:p>
    <w:p w14:paraId="184E19ED" w14:textId="77777777" w:rsidR="00243104" w:rsidRDefault="00243104" w:rsidP="00243104">
      <w:pPr>
        <w:spacing w:line="360" w:lineRule="auto"/>
        <w:jc w:val="both"/>
      </w:pPr>
    </w:p>
    <w:p w14:paraId="09AE4889" w14:textId="77777777" w:rsidR="00243104" w:rsidRDefault="00243104" w:rsidP="00243104">
      <w:pPr>
        <w:spacing w:line="360" w:lineRule="auto"/>
        <w:jc w:val="both"/>
      </w:pPr>
    </w:p>
    <w:p w14:paraId="5F6DF623" w14:textId="77777777" w:rsidR="00243104" w:rsidRDefault="00243104" w:rsidP="00243104">
      <w:pPr>
        <w:spacing w:line="360" w:lineRule="auto"/>
        <w:jc w:val="both"/>
      </w:pPr>
    </w:p>
    <w:p w14:paraId="4A6C06E4" w14:textId="77777777" w:rsidR="00243104" w:rsidRDefault="00243104" w:rsidP="00243104">
      <w:pPr>
        <w:spacing w:line="360" w:lineRule="auto"/>
        <w:jc w:val="both"/>
      </w:pPr>
    </w:p>
    <w:p w14:paraId="1DFDA836" w14:textId="77777777" w:rsidR="00243104" w:rsidRDefault="00243104" w:rsidP="00243104">
      <w:pPr>
        <w:spacing w:line="360" w:lineRule="auto"/>
        <w:jc w:val="both"/>
      </w:pPr>
    </w:p>
    <w:p w14:paraId="1F294C08" w14:textId="2D416874" w:rsidR="008B6400" w:rsidRPr="008B6400" w:rsidRDefault="008B6400" w:rsidP="008B6400">
      <w:pPr>
        <w:spacing w:line="360" w:lineRule="auto"/>
        <w:jc w:val="both"/>
        <w:rPr>
          <w:b/>
          <w:bCs/>
        </w:rPr>
      </w:pPr>
      <w:r w:rsidRPr="008B6400">
        <w:rPr>
          <w:b/>
          <w:bCs/>
        </w:rPr>
        <w:lastRenderedPageBreak/>
        <w:t>Q3 Section 2: Data</w:t>
      </w:r>
    </w:p>
    <w:p w14:paraId="50BC3587" w14:textId="47A05626" w:rsidR="008B6400" w:rsidRPr="008B6400" w:rsidRDefault="008B6400" w:rsidP="008B6400">
      <w:pPr>
        <w:spacing w:line="360" w:lineRule="auto"/>
        <w:jc w:val="both"/>
      </w:pPr>
      <w:r w:rsidRPr="008B6400">
        <w:t>2.1</w:t>
      </w:r>
      <w:r>
        <w:t xml:space="preserve"> </w:t>
      </w:r>
      <w:r w:rsidRPr="008B6400">
        <w:t xml:space="preserve">Data </w:t>
      </w:r>
      <w:r w:rsidRPr="008B6400">
        <w:t>collection</w:t>
      </w:r>
    </w:p>
    <w:p w14:paraId="0FFA4957" w14:textId="7FC6C29C" w:rsidR="008B6400" w:rsidRPr="008B6400" w:rsidRDefault="008B6400" w:rsidP="008B6400">
      <w:pPr>
        <w:spacing w:line="360" w:lineRule="auto"/>
        <w:jc w:val="both"/>
      </w:pPr>
      <w:r w:rsidRPr="008B6400">
        <w:t xml:space="preserve">2.2 </w:t>
      </w:r>
      <w:r w:rsidRPr="008B6400">
        <w:t xml:space="preserve">Technical </w:t>
      </w:r>
      <w:r w:rsidRPr="008B6400">
        <w:t>indicator calculation</w:t>
      </w:r>
    </w:p>
    <w:p w14:paraId="3DD1C6A1" w14:textId="2D520516" w:rsidR="008B6400" w:rsidRPr="008B6400" w:rsidRDefault="008B6400" w:rsidP="008B6400">
      <w:pPr>
        <w:spacing w:line="360" w:lineRule="auto"/>
        <w:jc w:val="both"/>
      </w:pPr>
      <w:r w:rsidRPr="008B6400">
        <w:t xml:space="preserve">2.3 </w:t>
      </w:r>
      <w:r w:rsidRPr="008B6400">
        <w:t xml:space="preserve">Data </w:t>
      </w:r>
      <w:r w:rsidRPr="008B6400">
        <w:t>processing</w:t>
      </w:r>
    </w:p>
    <w:p w14:paraId="12613DD8" w14:textId="32C1C503" w:rsidR="008B6400" w:rsidRPr="008B6400" w:rsidRDefault="008B6400" w:rsidP="008B6400">
      <w:pPr>
        <w:spacing w:line="360" w:lineRule="auto"/>
        <w:jc w:val="both"/>
      </w:pPr>
      <w:r w:rsidRPr="008B6400">
        <w:t xml:space="preserve">2.4 </w:t>
      </w:r>
      <w:r w:rsidRPr="008B6400">
        <w:t xml:space="preserve">Feature </w:t>
      </w:r>
      <w:r w:rsidRPr="008B6400">
        <w:t>selection</w:t>
      </w:r>
    </w:p>
    <w:p w14:paraId="56A337AD" w14:textId="11B6CE32" w:rsidR="008B6400" w:rsidRDefault="008B6400" w:rsidP="008B6400">
      <w:pPr>
        <w:spacing w:line="360" w:lineRule="auto"/>
        <w:jc w:val="both"/>
      </w:pPr>
      <w:r w:rsidRPr="008B6400">
        <w:t xml:space="preserve">2.5 </w:t>
      </w:r>
      <w:r w:rsidRPr="008B6400">
        <w:t xml:space="preserve">Classification </w:t>
      </w:r>
      <w:r w:rsidRPr="008B6400">
        <w:t>variable definition</w:t>
      </w:r>
    </w:p>
    <w:p w14:paraId="762DC466" w14:textId="77777777" w:rsidR="008B6400" w:rsidRDefault="008B6400" w:rsidP="008B6400">
      <w:pPr>
        <w:spacing w:line="360" w:lineRule="auto"/>
        <w:jc w:val="both"/>
      </w:pPr>
    </w:p>
    <w:p w14:paraId="738904BE" w14:textId="73B41DC0" w:rsidR="008B6400" w:rsidRPr="008B6400" w:rsidRDefault="008B6400" w:rsidP="008B6400">
      <w:pPr>
        <w:spacing w:line="360" w:lineRule="auto"/>
        <w:jc w:val="both"/>
        <w:rPr>
          <w:b/>
          <w:bCs/>
        </w:rPr>
      </w:pPr>
      <w:r w:rsidRPr="008B6400">
        <w:rPr>
          <w:b/>
          <w:bCs/>
        </w:rPr>
        <w:t>Section 3: Methodology</w:t>
      </w:r>
    </w:p>
    <w:p w14:paraId="7957EA5C" w14:textId="3620B68D" w:rsidR="008B6400" w:rsidRPr="008B6400" w:rsidRDefault="008B6400" w:rsidP="008B6400">
      <w:pPr>
        <w:spacing w:line="360" w:lineRule="auto"/>
        <w:jc w:val="both"/>
      </w:pPr>
      <w:r>
        <w:t xml:space="preserve">3.1 </w:t>
      </w:r>
      <w:r w:rsidRPr="008B6400">
        <w:t xml:space="preserve">Neural </w:t>
      </w:r>
      <w:r w:rsidRPr="008B6400">
        <w:t>network model</w:t>
      </w:r>
    </w:p>
    <w:p w14:paraId="3CC6B5E5" w14:textId="316D91C1" w:rsidR="008B6400" w:rsidRPr="008B6400" w:rsidRDefault="008B6400" w:rsidP="008B6400">
      <w:pPr>
        <w:spacing w:line="360" w:lineRule="auto"/>
        <w:jc w:val="both"/>
      </w:pPr>
      <w:r>
        <w:t xml:space="preserve">3.2 </w:t>
      </w:r>
      <w:r w:rsidRPr="008B6400">
        <w:t xml:space="preserve">Hyperparameter </w:t>
      </w:r>
      <w:r w:rsidRPr="008B6400">
        <w:t>optimi</w:t>
      </w:r>
      <w:r w:rsidR="00E05D4D">
        <w:t>s</w:t>
      </w:r>
      <w:r w:rsidRPr="008B6400">
        <w:t xml:space="preserve">ation </w:t>
      </w:r>
      <w:r w:rsidRPr="008B6400">
        <w:t>with Genetic Algorithm</w:t>
      </w:r>
    </w:p>
    <w:p w14:paraId="2E3CF061" w14:textId="3101058F" w:rsidR="008B6400" w:rsidRPr="008B6400" w:rsidRDefault="008B6400" w:rsidP="008B6400">
      <w:pPr>
        <w:spacing w:line="360" w:lineRule="auto"/>
        <w:jc w:val="both"/>
      </w:pPr>
      <w:r>
        <w:t xml:space="preserve">3.3 </w:t>
      </w:r>
      <w:r w:rsidRPr="008B6400">
        <w:t xml:space="preserve">Feature </w:t>
      </w:r>
      <w:r w:rsidRPr="008B6400">
        <w:t xml:space="preserve">selection </w:t>
      </w:r>
      <w:r w:rsidRPr="008B6400">
        <w:t>using LASSO</w:t>
      </w:r>
    </w:p>
    <w:p w14:paraId="72DE7913" w14:textId="18374B89" w:rsidR="008B6400" w:rsidRDefault="008B6400" w:rsidP="008B6400">
      <w:pPr>
        <w:spacing w:line="360" w:lineRule="auto"/>
        <w:jc w:val="both"/>
      </w:pPr>
      <w:r>
        <w:t xml:space="preserve">3.4 </w:t>
      </w:r>
      <w:r w:rsidRPr="008B6400">
        <w:t xml:space="preserve">Training </w:t>
      </w:r>
      <w:r w:rsidRPr="008B6400">
        <w:t>and testing procedure</w:t>
      </w:r>
    </w:p>
    <w:p w14:paraId="69B796EE" w14:textId="77777777" w:rsidR="00FD44FE" w:rsidRDefault="00FD44FE" w:rsidP="008B6400">
      <w:pPr>
        <w:spacing w:line="360" w:lineRule="auto"/>
        <w:jc w:val="both"/>
      </w:pPr>
    </w:p>
    <w:p w14:paraId="2A26911A" w14:textId="72872D10" w:rsidR="00FD44FE" w:rsidRPr="00013EA7" w:rsidRDefault="00013EA7" w:rsidP="00013EA7">
      <w:pPr>
        <w:spacing w:line="360" w:lineRule="auto"/>
        <w:jc w:val="center"/>
        <w:rPr>
          <w:b/>
          <w:bCs/>
        </w:rPr>
      </w:pPr>
      <w:r w:rsidRPr="00013EA7">
        <w:rPr>
          <w:b/>
          <w:bCs/>
        </w:rPr>
        <w:t xml:space="preserve">Table 1.0: </w:t>
      </w:r>
      <w:r w:rsidR="00FD44FE" w:rsidRPr="00013EA7">
        <w:rPr>
          <w:b/>
          <w:bCs/>
        </w:rPr>
        <w:t xml:space="preserve">Dividing Descriptive </w:t>
      </w:r>
      <w:r w:rsidR="00FD44FE" w:rsidRPr="00013EA7">
        <w:rPr>
          <w:b/>
          <w:bCs/>
        </w:rPr>
        <w:t>s</w:t>
      </w:r>
      <w:r w:rsidR="00FD44FE" w:rsidRPr="00013EA7">
        <w:rPr>
          <w:b/>
          <w:bCs/>
        </w:rPr>
        <w:t>tatistics from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3904"/>
        <w:gridCol w:w="3777"/>
      </w:tblGrid>
      <w:tr w:rsidR="00FD44FE" w14:paraId="7A98528D" w14:textId="77777777" w:rsidTr="00FD44FE">
        <w:tc>
          <w:tcPr>
            <w:tcW w:w="1335" w:type="dxa"/>
          </w:tcPr>
          <w:p w14:paraId="0317D426" w14:textId="06B39C82" w:rsidR="00FD44FE" w:rsidRPr="00FD44FE" w:rsidRDefault="00FD44FE" w:rsidP="008B6400">
            <w:pPr>
              <w:spacing w:line="360" w:lineRule="auto"/>
              <w:jc w:val="both"/>
              <w:rPr>
                <w:b/>
                <w:bCs/>
              </w:rPr>
            </w:pPr>
            <w:r w:rsidRPr="00FD44FE">
              <w:rPr>
                <w:b/>
                <w:bCs/>
              </w:rPr>
              <w:t>Aspect</w:t>
            </w:r>
          </w:p>
        </w:tc>
        <w:tc>
          <w:tcPr>
            <w:tcW w:w="4018" w:type="dxa"/>
          </w:tcPr>
          <w:p w14:paraId="4432580C" w14:textId="33C0F8A7" w:rsidR="00FD44FE" w:rsidRPr="00FD44FE" w:rsidRDefault="00FD44FE" w:rsidP="008B6400">
            <w:pPr>
              <w:spacing w:line="360" w:lineRule="auto"/>
              <w:jc w:val="both"/>
              <w:rPr>
                <w:b/>
                <w:bCs/>
              </w:rPr>
            </w:pPr>
            <w:r w:rsidRPr="00FD44FE">
              <w:rPr>
                <w:b/>
                <w:bCs/>
              </w:rPr>
              <w:t>Descriptive statistics</w:t>
            </w:r>
          </w:p>
        </w:tc>
        <w:tc>
          <w:tcPr>
            <w:tcW w:w="3889" w:type="dxa"/>
          </w:tcPr>
          <w:p w14:paraId="5A689E93" w14:textId="32809CA8" w:rsidR="00FD44FE" w:rsidRPr="00FD44FE" w:rsidRDefault="00FD44FE" w:rsidP="008B6400">
            <w:pPr>
              <w:spacing w:line="360" w:lineRule="auto"/>
              <w:jc w:val="both"/>
              <w:rPr>
                <w:b/>
                <w:bCs/>
              </w:rPr>
            </w:pPr>
            <w:r w:rsidRPr="00FD44FE">
              <w:rPr>
                <w:b/>
                <w:bCs/>
              </w:rPr>
              <w:t xml:space="preserve">Predictive </w:t>
            </w:r>
            <w:r w:rsidRPr="00FD44FE">
              <w:rPr>
                <w:b/>
                <w:bCs/>
              </w:rPr>
              <w:t>Models</w:t>
            </w:r>
          </w:p>
        </w:tc>
      </w:tr>
      <w:tr w:rsidR="00FD44FE" w14:paraId="2935DCED" w14:textId="77777777" w:rsidTr="00FD44FE">
        <w:tc>
          <w:tcPr>
            <w:tcW w:w="1335" w:type="dxa"/>
          </w:tcPr>
          <w:p w14:paraId="40A3F3AB" w14:textId="1FC847A1" w:rsidR="00FD44FE" w:rsidRPr="00FD44FE" w:rsidRDefault="00FD44FE" w:rsidP="008B6400">
            <w:pPr>
              <w:spacing w:line="360" w:lineRule="auto"/>
              <w:jc w:val="both"/>
            </w:pPr>
            <w:r w:rsidRPr="00FD44FE">
              <w:t>Purpose</w:t>
            </w:r>
          </w:p>
        </w:tc>
        <w:tc>
          <w:tcPr>
            <w:tcW w:w="4018" w:type="dxa"/>
          </w:tcPr>
          <w:p w14:paraId="6CC7B81E" w14:textId="5D1BC882" w:rsidR="00FD44FE" w:rsidRPr="00FD44FE" w:rsidRDefault="00FD44FE" w:rsidP="008B6400">
            <w:pPr>
              <w:spacing w:line="360" w:lineRule="auto"/>
              <w:jc w:val="both"/>
            </w:pPr>
            <w:r w:rsidRPr="00FD44FE">
              <w:t>Understand the structure, distribution, and relationships in data</w:t>
            </w:r>
          </w:p>
        </w:tc>
        <w:tc>
          <w:tcPr>
            <w:tcW w:w="3889" w:type="dxa"/>
          </w:tcPr>
          <w:p w14:paraId="44EF3E4D" w14:textId="33347538" w:rsidR="00FD44FE" w:rsidRPr="00FD44FE" w:rsidRDefault="00FD44FE" w:rsidP="008B6400">
            <w:pPr>
              <w:spacing w:line="360" w:lineRule="auto"/>
              <w:jc w:val="both"/>
            </w:pPr>
            <w:r w:rsidRPr="00FD44FE">
              <w:t>Predict future outcomes or classify new data</w:t>
            </w:r>
          </w:p>
        </w:tc>
      </w:tr>
      <w:tr w:rsidR="00FD44FE" w14:paraId="245A2E0C" w14:textId="77777777" w:rsidTr="00FD44FE">
        <w:tc>
          <w:tcPr>
            <w:tcW w:w="1335" w:type="dxa"/>
          </w:tcPr>
          <w:p w14:paraId="1269387B" w14:textId="544EB40B" w:rsidR="00FD44FE" w:rsidRPr="00FD44FE" w:rsidRDefault="00FD44FE" w:rsidP="008B6400">
            <w:pPr>
              <w:spacing w:line="360" w:lineRule="auto"/>
              <w:jc w:val="both"/>
            </w:pPr>
            <w:r w:rsidRPr="00FD44FE">
              <w:t>Example</w:t>
            </w:r>
          </w:p>
        </w:tc>
        <w:tc>
          <w:tcPr>
            <w:tcW w:w="4018" w:type="dxa"/>
          </w:tcPr>
          <w:p w14:paraId="69A88BFD" w14:textId="4B97C597" w:rsidR="00FD44FE" w:rsidRPr="00FD44FE" w:rsidRDefault="00FD44FE" w:rsidP="008B6400">
            <w:pPr>
              <w:spacing w:line="360" w:lineRule="auto"/>
              <w:jc w:val="both"/>
            </w:pPr>
            <w:r w:rsidRPr="00FD44FE">
              <w:t>Pearson Correlation measures the linear relationship between two variables</w:t>
            </w:r>
          </w:p>
        </w:tc>
        <w:tc>
          <w:tcPr>
            <w:tcW w:w="3889" w:type="dxa"/>
          </w:tcPr>
          <w:p w14:paraId="020F69CA" w14:textId="753CE982" w:rsidR="00FD44FE" w:rsidRPr="00FD44FE" w:rsidRDefault="00FD44FE" w:rsidP="008B6400">
            <w:pPr>
              <w:spacing w:line="360" w:lineRule="auto"/>
              <w:jc w:val="both"/>
            </w:pPr>
            <w:r w:rsidRPr="00FD44FE">
              <w:t xml:space="preserve">LASSO Regression selects important predictors and builds a model by shrinking coefficients toward </w:t>
            </w:r>
            <w:r w:rsidR="00403E8C">
              <w:t>z</w:t>
            </w:r>
            <w:r w:rsidRPr="00FD44FE">
              <w:t>ero for irrelevant features</w:t>
            </w:r>
          </w:p>
        </w:tc>
      </w:tr>
      <w:tr w:rsidR="00FD44FE" w14:paraId="2F90E772" w14:textId="77777777" w:rsidTr="00FD44FE">
        <w:tc>
          <w:tcPr>
            <w:tcW w:w="1335" w:type="dxa"/>
          </w:tcPr>
          <w:p w14:paraId="32A536AA" w14:textId="60750471" w:rsidR="00FD44FE" w:rsidRPr="00FD44FE" w:rsidRDefault="00FD44FE" w:rsidP="008B6400">
            <w:pPr>
              <w:spacing w:line="360" w:lineRule="auto"/>
              <w:jc w:val="both"/>
            </w:pPr>
            <w:r w:rsidRPr="00FD44FE">
              <w:t>Process</w:t>
            </w:r>
          </w:p>
        </w:tc>
        <w:tc>
          <w:tcPr>
            <w:tcW w:w="4018" w:type="dxa"/>
          </w:tcPr>
          <w:p w14:paraId="072EDA00" w14:textId="6D58AF60" w:rsidR="00FD44FE" w:rsidRPr="00FD44FE" w:rsidRDefault="00FD44FE" w:rsidP="008B6400">
            <w:pPr>
              <w:spacing w:line="360" w:lineRule="auto"/>
              <w:jc w:val="both"/>
            </w:pPr>
            <w:r w:rsidRPr="00FD44FE">
              <w:t>Summari</w:t>
            </w:r>
            <w:r w:rsidR="00E05D4D">
              <w:t>s</w:t>
            </w:r>
            <w:r w:rsidRPr="00FD44FE">
              <w:t>es data</w:t>
            </w:r>
          </w:p>
        </w:tc>
        <w:tc>
          <w:tcPr>
            <w:tcW w:w="3889" w:type="dxa"/>
          </w:tcPr>
          <w:p w14:paraId="2B6DD4FE" w14:textId="156822BA" w:rsidR="00FD44FE" w:rsidRPr="00FD44FE" w:rsidRDefault="00FD44FE" w:rsidP="008B6400">
            <w:pPr>
              <w:spacing w:line="360" w:lineRule="auto"/>
              <w:jc w:val="both"/>
            </w:pPr>
            <w:r w:rsidRPr="00FD44FE">
              <w:t>Learns from data</w:t>
            </w:r>
          </w:p>
        </w:tc>
      </w:tr>
      <w:tr w:rsidR="00FD44FE" w14:paraId="01A97F8A" w14:textId="77777777" w:rsidTr="00FD44FE">
        <w:tc>
          <w:tcPr>
            <w:tcW w:w="1335" w:type="dxa"/>
          </w:tcPr>
          <w:p w14:paraId="650BCBB7" w14:textId="0FA0C3C0" w:rsidR="00FD44FE" w:rsidRPr="00FD44FE" w:rsidRDefault="00FD44FE" w:rsidP="008B6400">
            <w:pPr>
              <w:spacing w:line="360" w:lineRule="auto"/>
              <w:jc w:val="both"/>
            </w:pPr>
            <w:r w:rsidRPr="00FD44FE">
              <w:t>Outputs</w:t>
            </w:r>
          </w:p>
        </w:tc>
        <w:tc>
          <w:tcPr>
            <w:tcW w:w="4018" w:type="dxa"/>
          </w:tcPr>
          <w:p w14:paraId="10931A61" w14:textId="4C41AEFE" w:rsidR="00FD44FE" w:rsidRPr="00FD44FE" w:rsidRDefault="00FD44FE" w:rsidP="008B6400">
            <w:pPr>
              <w:spacing w:line="360" w:lineRule="auto"/>
              <w:jc w:val="both"/>
            </w:pPr>
            <w:r w:rsidRPr="00FD44FE">
              <w:t>Correlations, means, variances, graphs</w:t>
            </w:r>
          </w:p>
        </w:tc>
        <w:tc>
          <w:tcPr>
            <w:tcW w:w="3889" w:type="dxa"/>
          </w:tcPr>
          <w:p w14:paraId="7667A81E" w14:textId="284195E2" w:rsidR="00FD44FE" w:rsidRPr="00FD44FE" w:rsidRDefault="00FD44FE" w:rsidP="008B6400">
            <w:pPr>
              <w:spacing w:line="360" w:lineRule="auto"/>
              <w:jc w:val="both"/>
            </w:pPr>
            <w:r w:rsidRPr="00FD44FE">
              <w:t>Predictions, selected features, coefficients</w:t>
            </w:r>
          </w:p>
        </w:tc>
      </w:tr>
      <w:tr w:rsidR="00FD44FE" w14:paraId="7C328545" w14:textId="77777777" w:rsidTr="00FD44FE">
        <w:tc>
          <w:tcPr>
            <w:tcW w:w="1335" w:type="dxa"/>
          </w:tcPr>
          <w:p w14:paraId="5E8E6F54" w14:textId="2DD39967" w:rsidR="00FD44FE" w:rsidRPr="00FD44FE" w:rsidRDefault="00FD44FE" w:rsidP="008B6400">
            <w:pPr>
              <w:spacing w:line="360" w:lineRule="auto"/>
              <w:jc w:val="both"/>
            </w:pPr>
            <w:r w:rsidRPr="00FD44FE">
              <w:t>Dependency on Labels</w:t>
            </w:r>
          </w:p>
        </w:tc>
        <w:tc>
          <w:tcPr>
            <w:tcW w:w="4018" w:type="dxa"/>
          </w:tcPr>
          <w:p w14:paraId="1951CB13" w14:textId="7B37607D" w:rsidR="00FD44FE" w:rsidRPr="00FD44FE" w:rsidRDefault="00FD44FE" w:rsidP="008B6400">
            <w:pPr>
              <w:spacing w:line="360" w:lineRule="auto"/>
              <w:jc w:val="both"/>
            </w:pPr>
            <w:r w:rsidRPr="00FD44FE">
              <w:t>No</w:t>
            </w:r>
          </w:p>
        </w:tc>
        <w:tc>
          <w:tcPr>
            <w:tcW w:w="3889" w:type="dxa"/>
          </w:tcPr>
          <w:p w14:paraId="71E869DF" w14:textId="3C4EECBD" w:rsidR="00FD44FE" w:rsidRPr="00FD44FE" w:rsidRDefault="00FD44FE" w:rsidP="008B6400">
            <w:pPr>
              <w:spacing w:line="360" w:lineRule="auto"/>
              <w:jc w:val="both"/>
            </w:pPr>
            <w:r w:rsidRPr="00FD44FE">
              <w:t>Yes</w:t>
            </w:r>
          </w:p>
        </w:tc>
      </w:tr>
    </w:tbl>
    <w:p w14:paraId="32ABBD7A" w14:textId="4E9BDADD" w:rsidR="00243104" w:rsidRDefault="00243104" w:rsidP="00243104">
      <w:pPr>
        <w:spacing w:line="360" w:lineRule="auto"/>
        <w:jc w:val="both"/>
      </w:pPr>
    </w:p>
    <w:p w14:paraId="6BEEA94D" w14:textId="3D01FD7C" w:rsidR="009A1F4D" w:rsidRPr="009A1F4D" w:rsidRDefault="009A1F4D" w:rsidP="009A1F4D">
      <w:pPr>
        <w:spacing w:line="360" w:lineRule="auto"/>
        <w:jc w:val="both"/>
        <w:rPr>
          <w:b/>
          <w:bCs/>
        </w:rPr>
      </w:pPr>
      <w:r w:rsidRPr="009A1F4D">
        <w:rPr>
          <w:b/>
          <w:bCs/>
        </w:rPr>
        <w:t>Optimi</w:t>
      </w:r>
      <w:r w:rsidR="00E05D4D">
        <w:rPr>
          <w:b/>
          <w:bCs/>
        </w:rPr>
        <w:t>s</w:t>
      </w:r>
      <w:r w:rsidRPr="009A1F4D">
        <w:rPr>
          <w:b/>
          <w:bCs/>
        </w:rPr>
        <w:t xml:space="preserve">ation </w:t>
      </w:r>
      <w:r w:rsidRPr="009A1F4D">
        <w:rPr>
          <w:b/>
          <w:bCs/>
        </w:rPr>
        <w:t>process of technical indicators</w:t>
      </w:r>
    </w:p>
    <w:p w14:paraId="3DE1E86F" w14:textId="113498D3" w:rsidR="009A1F4D" w:rsidRPr="009A1F4D" w:rsidRDefault="009A1F4D" w:rsidP="009A1F4D">
      <w:pPr>
        <w:spacing w:line="360" w:lineRule="auto"/>
        <w:jc w:val="both"/>
      </w:pPr>
      <w:r w:rsidRPr="009A1F4D">
        <w:t>The authors applied a two-step optimi</w:t>
      </w:r>
      <w:r w:rsidR="00E05D4D">
        <w:t>s</w:t>
      </w:r>
      <w:r w:rsidRPr="009A1F4D">
        <w:t>ation strategy to maximi</w:t>
      </w:r>
      <w:r w:rsidR="00E05D4D">
        <w:t>s</w:t>
      </w:r>
      <w:r w:rsidRPr="009A1F4D">
        <w:t>e the predictive ability of technical indicators:</w:t>
      </w:r>
    </w:p>
    <w:p w14:paraId="1E9EAEBC" w14:textId="4F19CBCB" w:rsidR="009A1F4D" w:rsidRPr="009A1F4D" w:rsidRDefault="009A1F4D" w:rsidP="009A1F4D">
      <w:pPr>
        <w:spacing w:line="360" w:lineRule="auto"/>
        <w:jc w:val="both"/>
      </w:pPr>
      <w:r w:rsidRPr="009A1F4D">
        <w:t xml:space="preserve">Genetic </w:t>
      </w:r>
      <w:r w:rsidRPr="00403E8C">
        <w:t>algorithm optimi</w:t>
      </w:r>
      <w:r w:rsidR="00E05D4D" w:rsidRPr="00403E8C">
        <w:t>s</w:t>
      </w:r>
      <w:r w:rsidRPr="00403E8C">
        <w:t>ation</w:t>
      </w:r>
    </w:p>
    <w:p w14:paraId="48A235EB" w14:textId="041E5ECD" w:rsidR="009A1F4D" w:rsidRPr="009A1F4D" w:rsidRDefault="009A1F4D" w:rsidP="009A1F4D">
      <w:pPr>
        <w:numPr>
          <w:ilvl w:val="0"/>
          <w:numId w:val="10"/>
        </w:numPr>
        <w:spacing w:line="360" w:lineRule="auto"/>
        <w:jc w:val="both"/>
      </w:pPr>
      <w:r w:rsidRPr="009A1F4D">
        <w:t>A Genetic Algorithm is first used to optimi</w:t>
      </w:r>
      <w:r w:rsidR="00E05D4D">
        <w:t>s</w:t>
      </w:r>
      <w:r w:rsidRPr="009A1F4D">
        <w:t>e the parameter settings of each technical indicator, such as choosing the most effective time windows for moving averages or the RSI (Mejia et al.</w:t>
      </w:r>
      <w:r>
        <w:t>,</w:t>
      </w:r>
      <w:r w:rsidRPr="009A1F4D">
        <w:t xml:space="preserve"> 6).</w:t>
      </w:r>
    </w:p>
    <w:p w14:paraId="11FB4720" w14:textId="4037EF1C" w:rsidR="009A1F4D" w:rsidRPr="009A1F4D" w:rsidRDefault="009A1F4D" w:rsidP="009A1F4D">
      <w:pPr>
        <w:numPr>
          <w:ilvl w:val="0"/>
          <w:numId w:val="10"/>
        </w:numPr>
        <w:spacing w:line="360" w:lineRule="auto"/>
        <w:jc w:val="both"/>
      </w:pPr>
      <w:r w:rsidRPr="009A1F4D">
        <w:lastRenderedPageBreak/>
        <w:t>The GA evolves populations over generations, selecting parameter combinations that yield the highest predictive performance (Mejia et al.</w:t>
      </w:r>
      <w:r>
        <w:t>,</w:t>
      </w:r>
      <w:r w:rsidRPr="009A1F4D">
        <w:t xml:space="preserve"> 6).</w:t>
      </w:r>
    </w:p>
    <w:p w14:paraId="6FE4466D" w14:textId="3FFD6E63" w:rsidR="009A1F4D" w:rsidRPr="009A1F4D" w:rsidRDefault="009A1F4D" w:rsidP="009A1F4D">
      <w:pPr>
        <w:spacing w:line="360" w:lineRule="auto"/>
        <w:jc w:val="both"/>
      </w:pPr>
      <w:r w:rsidRPr="009A1F4D">
        <w:t xml:space="preserve">LASSO </w:t>
      </w:r>
      <w:r w:rsidRPr="00403E8C">
        <w:t>feature selection</w:t>
      </w:r>
    </w:p>
    <w:p w14:paraId="6AB3A8B8" w14:textId="253AFBD8" w:rsidR="009A1F4D" w:rsidRDefault="009A1F4D" w:rsidP="007E2114">
      <w:pPr>
        <w:numPr>
          <w:ilvl w:val="0"/>
          <w:numId w:val="11"/>
        </w:numPr>
        <w:spacing w:line="360" w:lineRule="auto"/>
        <w:jc w:val="both"/>
      </w:pPr>
      <w:r w:rsidRPr="009A1F4D">
        <w:t>After parameter optimi</w:t>
      </w:r>
      <w:r w:rsidR="00E05D4D">
        <w:t>s</w:t>
      </w:r>
      <w:r w:rsidRPr="009A1F4D">
        <w:t>ation, the authors use LASSO regression to automatically select the best subset of indicators by penali</w:t>
      </w:r>
      <w:r w:rsidR="00E05D4D">
        <w:t>s</w:t>
      </w:r>
      <w:r w:rsidRPr="009A1F4D">
        <w:t>ing less useful ones, thus reducing dimensionality (Mejia et al</w:t>
      </w:r>
      <w:r>
        <w:t>.,</w:t>
      </w:r>
      <w:r w:rsidRPr="009A1F4D">
        <w:t xml:space="preserve"> 7).</w:t>
      </w:r>
    </w:p>
    <w:p w14:paraId="37A00AFB" w14:textId="77777777" w:rsidR="00013EA7" w:rsidRPr="009A1F4D" w:rsidRDefault="00013EA7" w:rsidP="00403E8C">
      <w:pPr>
        <w:spacing w:line="360" w:lineRule="auto"/>
        <w:ind w:left="720"/>
        <w:jc w:val="both"/>
      </w:pPr>
    </w:p>
    <w:p w14:paraId="095C840C" w14:textId="2A6B2C2E" w:rsidR="009A1F4D" w:rsidRPr="009A1F4D" w:rsidRDefault="009A1F4D" w:rsidP="009A1F4D">
      <w:pPr>
        <w:spacing w:line="360" w:lineRule="auto"/>
        <w:jc w:val="both"/>
        <w:rPr>
          <w:b/>
          <w:bCs/>
        </w:rPr>
      </w:pPr>
      <w:r w:rsidRPr="009A1F4D">
        <w:rPr>
          <w:b/>
          <w:bCs/>
        </w:rPr>
        <w:t xml:space="preserve">How </w:t>
      </w:r>
      <w:r w:rsidR="00E05D4D" w:rsidRPr="009A1F4D">
        <w:rPr>
          <w:b/>
          <w:bCs/>
        </w:rPr>
        <w:t>the authors improve predictive power</w:t>
      </w:r>
    </w:p>
    <w:p w14:paraId="3D4274BC" w14:textId="518261D7" w:rsidR="009A1F4D" w:rsidRPr="009A1F4D" w:rsidRDefault="009A1F4D" w:rsidP="009A1F4D">
      <w:pPr>
        <w:spacing w:line="360" w:lineRule="auto"/>
        <w:jc w:val="both"/>
      </w:pPr>
      <w:r w:rsidRPr="009A1F4D">
        <w:t>The combination of optimi</w:t>
      </w:r>
      <w:r w:rsidR="00E05D4D">
        <w:t>s</w:t>
      </w:r>
      <w:r w:rsidRPr="009A1F4D">
        <w:t>ed parameters and feature selection enhances predictive power significantly:</w:t>
      </w:r>
    </w:p>
    <w:p w14:paraId="398528DD" w14:textId="4B61E7F7" w:rsidR="009A1F4D" w:rsidRPr="009A1F4D" w:rsidRDefault="009A1F4D" w:rsidP="009A1F4D">
      <w:pPr>
        <w:numPr>
          <w:ilvl w:val="0"/>
          <w:numId w:val="12"/>
        </w:numPr>
        <w:spacing w:line="360" w:lineRule="auto"/>
        <w:jc w:val="both"/>
      </w:pPr>
      <w:r w:rsidRPr="009A1F4D">
        <w:t>Customi</w:t>
      </w:r>
      <w:r w:rsidR="00E05D4D">
        <w:t>s</w:t>
      </w:r>
      <w:r w:rsidRPr="009A1F4D">
        <w:t>ation of Indicators: Fine-tuning standard technical indicators to fit the specific dynamics of the emerging markets improves signal quality</w:t>
      </w:r>
      <w:r w:rsidR="00E05D4D" w:rsidRPr="00E05D4D">
        <w:t>.</w:t>
      </w:r>
    </w:p>
    <w:p w14:paraId="447D7496" w14:textId="4ED71FA1" w:rsidR="009A1F4D" w:rsidRPr="009A1F4D" w:rsidRDefault="009A1F4D" w:rsidP="009A1F4D">
      <w:pPr>
        <w:numPr>
          <w:ilvl w:val="0"/>
          <w:numId w:val="12"/>
        </w:numPr>
        <w:spacing w:line="360" w:lineRule="auto"/>
        <w:jc w:val="both"/>
      </w:pPr>
      <w:r w:rsidRPr="009A1F4D">
        <w:t>Noise Reduction: LASSO shrinks noisy or redundant inputs, reducing overfitting and focusing the neural network on truly informative features</w:t>
      </w:r>
      <w:r w:rsidR="00E05D4D" w:rsidRPr="00E05D4D">
        <w:t>.</w:t>
      </w:r>
    </w:p>
    <w:p w14:paraId="1BEE7137" w14:textId="335A9C01" w:rsidR="00E05D4D" w:rsidRPr="00E05D4D" w:rsidRDefault="009A1F4D" w:rsidP="00E05D4D">
      <w:pPr>
        <w:numPr>
          <w:ilvl w:val="0"/>
          <w:numId w:val="12"/>
        </w:numPr>
        <w:spacing w:line="360" w:lineRule="auto"/>
        <w:jc w:val="both"/>
      </w:pPr>
      <w:r w:rsidRPr="009A1F4D">
        <w:t>Model Generali</w:t>
      </w:r>
      <w:r w:rsidR="00E05D4D">
        <w:t>s</w:t>
      </w:r>
      <w:r w:rsidRPr="009A1F4D">
        <w:t>ation: By reducing the number of irrelevant features, the model becomes more robust and performs better on unseen data</w:t>
      </w:r>
      <w:r w:rsidR="00E05D4D" w:rsidRPr="00E05D4D">
        <w:t>.</w:t>
      </w:r>
    </w:p>
    <w:p w14:paraId="257A12D7" w14:textId="2DE54738" w:rsidR="009A1F4D" w:rsidRPr="009A1F4D" w:rsidRDefault="009A1F4D" w:rsidP="009A1F4D">
      <w:pPr>
        <w:spacing w:line="360" w:lineRule="auto"/>
        <w:jc w:val="both"/>
      </w:pPr>
    </w:p>
    <w:p w14:paraId="57317CFF" w14:textId="787A146C" w:rsidR="009A1F4D" w:rsidRPr="009A1F4D" w:rsidRDefault="009A1F4D" w:rsidP="009A1F4D">
      <w:pPr>
        <w:spacing w:line="360" w:lineRule="auto"/>
        <w:jc w:val="both"/>
        <w:rPr>
          <w:b/>
          <w:bCs/>
        </w:rPr>
      </w:pPr>
      <w:r w:rsidRPr="009A1F4D">
        <w:rPr>
          <w:b/>
          <w:bCs/>
        </w:rPr>
        <w:t>Why It Is Important to Optimi</w:t>
      </w:r>
      <w:r w:rsidR="00E05D4D">
        <w:rPr>
          <w:b/>
          <w:bCs/>
        </w:rPr>
        <w:t>s</w:t>
      </w:r>
      <w:r w:rsidRPr="009A1F4D">
        <w:rPr>
          <w:b/>
          <w:bCs/>
        </w:rPr>
        <w:t>e Indicators for Neural Networks</w:t>
      </w:r>
    </w:p>
    <w:p w14:paraId="20953A00" w14:textId="6BBA3F2D" w:rsidR="009A1F4D" w:rsidRPr="009A1F4D" w:rsidRDefault="009A1F4D" w:rsidP="009A1F4D">
      <w:pPr>
        <w:spacing w:line="360" w:lineRule="auto"/>
        <w:jc w:val="both"/>
      </w:pPr>
      <w:r w:rsidRPr="009A1F4D">
        <w:t>Optimi</w:t>
      </w:r>
      <w:r w:rsidR="00E05D4D">
        <w:t>s</w:t>
      </w:r>
      <w:r w:rsidRPr="009A1F4D">
        <w:t>ing technical indicators is crucial because:</w:t>
      </w:r>
    </w:p>
    <w:p w14:paraId="17DED30A" w14:textId="5DD0ACF1" w:rsidR="009A1F4D" w:rsidRPr="009A1F4D" w:rsidRDefault="009A1F4D" w:rsidP="009A1F4D">
      <w:pPr>
        <w:numPr>
          <w:ilvl w:val="0"/>
          <w:numId w:val="13"/>
        </w:numPr>
        <w:spacing w:line="360" w:lineRule="auto"/>
        <w:jc w:val="both"/>
      </w:pPr>
      <w:r w:rsidRPr="009A1F4D">
        <w:t>Neural networks are sensitive to irrelevant features, and too many noisy inputs can lead to overfitting (Goodfellow et al.</w:t>
      </w:r>
      <w:r w:rsidR="00E05D4D">
        <w:t xml:space="preserve">, </w:t>
      </w:r>
      <w:r w:rsidRPr="009A1F4D">
        <w:t>97).</w:t>
      </w:r>
    </w:p>
    <w:p w14:paraId="5A52F395" w14:textId="5D93D083" w:rsidR="009A1F4D" w:rsidRPr="009A1F4D" w:rsidRDefault="009A1F4D" w:rsidP="009A1F4D">
      <w:pPr>
        <w:numPr>
          <w:ilvl w:val="0"/>
          <w:numId w:val="13"/>
        </w:numPr>
        <w:spacing w:line="360" w:lineRule="auto"/>
        <w:jc w:val="both"/>
      </w:pPr>
      <w:r w:rsidRPr="009A1F4D">
        <w:t>Better feature quality means faster training and higher prediction accuracy, improving both efficiency and effectiveness (Hastie et al.</w:t>
      </w:r>
      <w:r w:rsidR="00E05D4D">
        <w:t xml:space="preserve">, </w:t>
      </w:r>
      <w:r w:rsidRPr="009A1F4D">
        <w:t>217).</w:t>
      </w:r>
    </w:p>
    <w:p w14:paraId="3B5789E0" w14:textId="0DAAB9FF" w:rsidR="009A1F4D" w:rsidRPr="009A1F4D" w:rsidRDefault="009A1F4D" w:rsidP="009A1F4D">
      <w:pPr>
        <w:numPr>
          <w:ilvl w:val="0"/>
          <w:numId w:val="13"/>
        </w:numPr>
        <w:spacing w:line="360" w:lineRule="auto"/>
        <w:jc w:val="both"/>
      </w:pPr>
      <w:r w:rsidRPr="009A1F4D">
        <w:t>Dimensionality reduction lowers computational costs, enabling faster and more stable learning even on large financial datasets (Mejia et al.</w:t>
      </w:r>
      <w:r w:rsidR="00E05D4D">
        <w:t>,</w:t>
      </w:r>
      <w:r w:rsidRPr="009A1F4D">
        <w:t xml:space="preserve"> 7).</w:t>
      </w:r>
    </w:p>
    <w:p w14:paraId="1C12CCAE" w14:textId="77777777" w:rsidR="009A1F4D" w:rsidRDefault="009A1F4D" w:rsidP="00243104">
      <w:pPr>
        <w:spacing w:line="360" w:lineRule="auto"/>
        <w:jc w:val="both"/>
      </w:pPr>
    </w:p>
    <w:p w14:paraId="279E5A4C" w14:textId="77777777" w:rsidR="00243104" w:rsidRDefault="00243104" w:rsidP="00243104">
      <w:pPr>
        <w:spacing w:line="360" w:lineRule="auto"/>
        <w:jc w:val="both"/>
      </w:pPr>
    </w:p>
    <w:p w14:paraId="32DB4D51" w14:textId="77777777" w:rsidR="00243104" w:rsidRDefault="00243104" w:rsidP="00243104">
      <w:pPr>
        <w:spacing w:line="360" w:lineRule="auto"/>
        <w:jc w:val="both"/>
      </w:pPr>
    </w:p>
    <w:p w14:paraId="723E763F" w14:textId="77777777" w:rsidR="00243104" w:rsidRDefault="00243104" w:rsidP="00243104">
      <w:pPr>
        <w:spacing w:line="360" w:lineRule="auto"/>
        <w:jc w:val="both"/>
      </w:pPr>
    </w:p>
    <w:p w14:paraId="224849F8" w14:textId="77777777" w:rsidR="00243104" w:rsidRDefault="00243104" w:rsidP="00243104">
      <w:pPr>
        <w:spacing w:line="360" w:lineRule="auto"/>
        <w:jc w:val="both"/>
      </w:pPr>
    </w:p>
    <w:p w14:paraId="23806388" w14:textId="77777777" w:rsidR="00243104" w:rsidRDefault="00243104" w:rsidP="00243104">
      <w:pPr>
        <w:spacing w:line="360" w:lineRule="auto"/>
        <w:jc w:val="both"/>
      </w:pPr>
    </w:p>
    <w:p w14:paraId="672376D9" w14:textId="77777777" w:rsidR="00243104" w:rsidRDefault="00243104" w:rsidP="00243104">
      <w:pPr>
        <w:spacing w:line="360" w:lineRule="auto"/>
        <w:jc w:val="both"/>
      </w:pPr>
    </w:p>
    <w:p w14:paraId="6A34FC86" w14:textId="77777777" w:rsidR="00243104" w:rsidRDefault="00243104" w:rsidP="00243104">
      <w:pPr>
        <w:spacing w:line="360" w:lineRule="auto"/>
        <w:jc w:val="both"/>
      </w:pPr>
    </w:p>
    <w:p w14:paraId="62CE46EC" w14:textId="77777777" w:rsidR="00243104" w:rsidRDefault="00243104" w:rsidP="00243104">
      <w:pPr>
        <w:spacing w:line="360" w:lineRule="auto"/>
        <w:jc w:val="both"/>
      </w:pPr>
    </w:p>
    <w:p w14:paraId="125A15FB" w14:textId="395EFC1D" w:rsidR="00243104" w:rsidRPr="00243104" w:rsidRDefault="00243104" w:rsidP="00243104">
      <w:pPr>
        <w:spacing w:after="240" w:line="360" w:lineRule="auto"/>
        <w:jc w:val="both"/>
        <w:rPr>
          <w:b/>
          <w:bCs/>
        </w:rPr>
      </w:pPr>
      <w:r w:rsidRPr="00243104">
        <w:rPr>
          <w:b/>
          <w:bCs/>
        </w:rPr>
        <w:lastRenderedPageBreak/>
        <w:t>References</w:t>
      </w:r>
    </w:p>
    <w:p w14:paraId="2DB996CC" w14:textId="66B467A0" w:rsidR="00243104" w:rsidRPr="00E05D4D" w:rsidRDefault="00243104" w:rsidP="00243104">
      <w:pPr>
        <w:spacing w:after="240" w:line="360" w:lineRule="auto"/>
        <w:jc w:val="both"/>
      </w:pPr>
      <w:r w:rsidRPr="00E05D4D">
        <w:t>Murphy, John J. Technical Analysis of the Financial Markets: A Comprehensive Guide to Trading Methods and Applications. New York Institute of Finance, 1999.</w:t>
      </w:r>
    </w:p>
    <w:p w14:paraId="3C022035" w14:textId="758E37FC" w:rsidR="00243104" w:rsidRPr="00E05D4D" w:rsidRDefault="00243104" w:rsidP="00243104">
      <w:pPr>
        <w:spacing w:after="240" w:line="360" w:lineRule="auto"/>
        <w:jc w:val="both"/>
      </w:pPr>
      <w:proofErr w:type="spellStart"/>
      <w:r w:rsidRPr="00E05D4D">
        <w:t>Sagaceta</w:t>
      </w:r>
      <w:proofErr w:type="spellEnd"/>
      <w:r w:rsidRPr="00E05D4D">
        <w:t xml:space="preserve"> Mejia, Gilberto, Ivan </w:t>
      </w:r>
      <w:proofErr w:type="spellStart"/>
      <w:r w:rsidRPr="00E05D4D">
        <w:t>Marsura</w:t>
      </w:r>
      <w:proofErr w:type="spellEnd"/>
      <w:r w:rsidRPr="00E05D4D">
        <w:t xml:space="preserve">, Sergio Romero-Torres, and Edgar </w:t>
      </w:r>
      <w:proofErr w:type="spellStart"/>
      <w:r w:rsidRPr="00E05D4D">
        <w:t>Sucar</w:t>
      </w:r>
      <w:proofErr w:type="spellEnd"/>
      <w:r w:rsidRPr="00E05D4D">
        <w:t>. “An Intelligent Approach for Predicting Stock Market Movements in Emerging Markets Using Optimi</w:t>
      </w:r>
      <w:r w:rsidR="00E05D4D">
        <w:t>s</w:t>
      </w:r>
      <w:r w:rsidRPr="00E05D4D">
        <w:t xml:space="preserve">ed Technical Indicators and Neural Networks.” The Open Economics Journal, vol. 15, no. 1, 2022, </w:t>
      </w:r>
      <w:hyperlink r:id="rId5" w:tgtFrame="_new" w:history="1">
        <w:r w:rsidRPr="00E05D4D">
          <w:rPr>
            <w:rStyle w:val="Hyperlink"/>
          </w:rPr>
          <w:t>https://www.degruyter.com/document/doi/10.1515/econ-2022-0073/html</w:t>
        </w:r>
      </w:hyperlink>
      <w:r w:rsidRPr="00E05D4D">
        <w:t>.</w:t>
      </w:r>
    </w:p>
    <w:p w14:paraId="5A036DB8" w14:textId="77777777" w:rsidR="00E05D4D" w:rsidRPr="00E05D4D" w:rsidRDefault="00E05D4D" w:rsidP="00E05D4D">
      <w:pPr>
        <w:spacing w:after="240" w:line="360" w:lineRule="auto"/>
        <w:jc w:val="both"/>
      </w:pPr>
      <w:r w:rsidRPr="00E05D4D">
        <w:t>Goodfellow, Ian, Yoshua Bengio, and Aaron Courville. Deep Learning. MIT Press, 2016.</w:t>
      </w:r>
    </w:p>
    <w:p w14:paraId="50950E13" w14:textId="77777777" w:rsidR="00E05D4D" w:rsidRPr="00E05D4D" w:rsidRDefault="00E05D4D" w:rsidP="00E05D4D">
      <w:pPr>
        <w:spacing w:after="240" w:line="360" w:lineRule="auto"/>
        <w:jc w:val="both"/>
      </w:pPr>
      <w:r w:rsidRPr="00E05D4D">
        <w:t xml:space="preserve">Hastie, Trevor, Robert </w:t>
      </w:r>
      <w:proofErr w:type="spellStart"/>
      <w:r w:rsidRPr="00E05D4D">
        <w:t>Tibshirani</w:t>
      </w:r>
      <w:proofErr w:type="spellEnd"/>
      <w:r w:rsidRPr="00E05D4D">
        <w:t>, and Jerome Friedman. The Elements of Statistical Learning: Data Mining, Inference, and Prediction. 2nd ed., Springer, 2009.</w:t>
      </w:r>
    </w:p>
    <w:p w14:paraId="599E79AD" w14:textId="77777777" w:rsidR="00E05D4D" w:rsidRPr="00243104" w:rsidRDefault="00E05D4D" w:rsidP="00243104">
      <w:pPr>
        <w:spacing w:after="240" w:line="360" w:lineRule="auto"/>
        <w:jc w:val="both"/>
      </w:pPr>
    </w:p>
    <w:sectPr w:rsidR="00E05D4D" w:rsidRPr="00243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521CE"/>
    <w:multiLevelType w:val="multilevel"/>
    <w:tmpl w:val="581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E093D"/>
    <w:multiLevelType w:val="multilevel"/>
    <w:tmpl w:val="581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2221E"/>
    <w:multiLevelType w:val="multilevel"/>
    <w:tmpl w:val="581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73831"/>
    <w:multiLevelType w:val="multilevel"/>
    <w:tmpl w:val="581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31C3E"/>
    <w:multiLevelType w:val="multilevel"/>
    <w:tmpl w:val="581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F5473"/>
    <w:multiLevelType w:val="multilevel"/>
    <w:tmpl w:val="581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B3110"/>
    <w:multiLevelType w:val="multilevel"/>
    <w:tmpl w:val="581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A069F"/>
    <w:multiLevelType w:val="multilevel"/>
    <w:tmpl w:val="581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86A6E"/>
    <w:multiLevelType w:val="multilevel"/>
    <w:tmpl w:val="581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B1CD0"/>
    <w:multiLevelType w:val="multilevel"/>
    <w:tmpl w:val="581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650E1"/>
    <w:multiLevelType w:val="multilevel"/>
    <w:tmpl w:val="581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958DC"/>
    <w:multiLevelType w:val="multilevel"/>
    <w:tmpl w:val="581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B686E"/>
    <w:multiLevelType w:val="multilevel"/>
    <w:tmpl w:val="5810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272423">
    <w:abstractNumId w:val="7"/>
  </w:num>
  <w:num w:numId="2" w16cid:durableId="423183769">
    <w:abstractNumId w:val="5"/>
  </w:num>
  <w:num w:numId="3" w16cid:durableId="1293514067">
    <w:abstractNumId w:val="8"/>
  </w:num>
  <w:num w:numId="4" w16cid:durableId="1590581484">
    <w:abstractNumId w:val="6"/>
  </w:num>
  <w:num w:numId="5" w16cid:durableId="585924542">
    <w:abstractNumId w:val="2"/>
  </w:num>
  <w:num w:numId="6" w16cid:durableId="364908708">
    <w:abstractNumId w:val="12"/>
  </w:num>
  <w:num w:numId="7" w16cid:durableId="1767574622">
    <w:abstractNumId w:val="3"/>
  </w:num>
  <w:num w:numId="8" w16cid:durableId="2103716132">
    <w:abstractNumId w:val="10"/>
  </w:num>
  <w:num w:numId="9" w16cid:durableId="1914386722">
    <w:abstractNumId w:val="0"/>
  </w:num>
  <w:num w:numId="10" w16cid:durableId="362705181">
    <w:abstractNumId w:val="9"/>
  </w:num>
  <w:num w:numId="11" w16cid:durableId="533345059">
    <w:abstractNumId w:val="4"/>
  </w:num>
  <w:num w:numId="12" w16cid:durableId="182208923">
    <w:abstractNumId w:val="1"/>
  </w:num>
  <w:num w:numId="13" w16cid:durableId="8135229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E1"/>
    <w:rsid w:val="00013EA7"/>
    <w:rsid w:val="00243104"/>
    <w:rsid w:val="003539E1"/>
    <w:rsid w:val="003632E6"/>
    <w:rsid w:val="00403E8C"/>
    <w:rsid w:val="00592CB3"/>
    <w:rsid w:val="006C1463"/>
    <w:rsid w:val="008945E1"/>
    <w:rsid w:val="008A5BEC"/>
    <w:rsid w:val="008B6400"/>
    <w:rsid w:val="009A1F4D"/>
    <w:rsid w:val="00C25743"/>
    <w:rsid w:val="00E05D4D"/>
    <w:rsid w:val="00FA3153"/>
    <w:rsid w:val="00F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7E3C"/>
  <w15:chartTrackingRefBased/>
  <w15:docId w15:val="{D3E031A1-5E3D-450B-80B0-52A1A0B9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4D"/>
  </w:style>
  <w:style w:type="paragraph" w:styleId="Heading1">
    <w:name w:val="heading 1"/>
    <w:basedOn w:val="Normal"/>
    <w:next w:val="Normal"/>
    <w:link w:val="Heading1Char"/>
    <w:uiPriority w:val="9"/>
    <w:qFormat/>
    <w:rsid w:val="00353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9E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9E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9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9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9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9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9E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9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9E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9E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9E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9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9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9E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9E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9E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9E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1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1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D4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gruyter.com/document/doi/10.1515/econ-2022-0073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gift@certs-sa.co.za</dc:creator>
  <cp:keywords/>
  <dc:description/>
  <cp:lastModifiedBy>gift@certs-sa.co.za</cp:lastModifiedBy>
  <cp:revision>5</cp:revision>
  <dcterms:created xsi:type="dcterms:W3CDTF">2025-04-29T06:05:00Z</dcterms:created>
  <dcterms:modified xsi:type="dcterms:W3CDTF">2025-04-29T08:05:00Z</dcterms:modified>
</cp:coreProperties>
</file>