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F709FE" w14:textId="0EC954DD" w:rsidR="00E354FE" w:rsidRPr="00E354FE" w:rsidRDefault="00E354FE" w:rsidP="00E354FE">
      <w:pPr>
        <w:spacing w:before="100" w:beforeAutospacing="1" w:after="100" w:afterAutospacing="1" w:line="360" w:lineRule="auto"/>
        <w:jc w:val="both"/>
        <w:outlineLvl w:val="1"/>
        <w:rPr>
          <w:rFonts w:ascii="Times New Roman" w:eastAsia="Times New Roman" w:hAnsi="Times New Roman" w:cs="Times New Roman"/>
          <w:b/>
          <w:bCs/>
          <w:sz w:val="24"/>
          <w:szCs w:val="24"/>
          <w:lang w:eastAsia="es-PE"/>
        </w:rPr>
      </w:pPr>
      <w:r w:rsidRPr="00E354FE">
        <w:rPr>
          <w:rFonts w:ascii="Times New Roman" w:eastAsia="Times New Roman" w:hAnsi="Times New Roman" w:cs="Times New Roman"/>
          <w:b/>
          <w:bCs/>
          <w:sz w:val="24"/>
          <w:szCs w:val="24"/>
          <w:lang w:eastAsia="es-PE"/>
        </w:rPr>
        <w:t>RESULTADOS</w:t>
      </w:r>
    </w:p>
    <w:p w14:paraId="76472A51" w14:textId="77777777" w:rsidR="00E354FE" w:rsidRPr="00E354FE" w:rsidRDefault="00E354FE" w:rsidP="00E354FE">
      <w:pPr>
        <w:spacing w:before="100" w:beforeAutospacing="1" w:after="100" w:afterAutospacing="1" w:line="360" w:lineRule="auto"/>
        <w:jc w:val="both"/>
        <w:outlineLvl w:val="2"/>
        <w:rPr>
          <w:rFonts w:ascii="Times New Roman" w:eastAsia="Times New Roman" w:hAnsi="Times New Roman" w:cs="Times New Roman"/>
          <w:b/>
          <w:bCs/>
          <w:sz w:val="24"/>
          <w:szCs w:val="24"/>
          <w:lang w:eastAsia="es-PE"/>
        </w:rPr>
      </w:pPr>
      <w:r w:rsidRPr="00E354FE">
        <w:rPr>
          <w:rFonts w:ascii="Times New Roman" w:eastAsia="Times New Roman" w:hAnsi="Times New Roman" w:cs="Times New Roman"/>
          <w:b/>
          <w:bCs/>
          <w:sz w:val="24"/>
          <w:szCs w:val="24"/>
          <w:lang w:eastAsia="es-PE"/>
        </w:rPr>
        <w:t>Germinación diaria por tratamiento</w:t>
      </w:r>
    </w:p>
    <w:p w14:paraId="66B48B0C" w14:textId="374748DD" w:rsidR="00E354FE" w:rsidRDefault="00E354FE" w:rsidP="00E354FE">
      <w:pPr>
        <w:spacing w:before="100" w:beforeAutospacing="1" w:after="100" w:afterAutospacing="1" w:line="360" w:lineRule="auto"/>
        <w:jc w:val="both"/>
        <w:rPr>
          <w:noProof/>
        </w:rPr>
      </w:pPr>
      <w:r w:rsidRPr="00E354FE">
        <w:rPr>
          <w:rFonts w:ascii="Times New Roman" w:eastAsia="Times New Roman" w:hAnsi="Times New Roman" w:cs="Times New Roman"/>
          <w:sz w:val="24"/>
          <w:szCs w:val="24"/>
          <w:lang w:eastAsia="es-PE"/>
        </w:rPr>
        <w:t xml:space="preserve">En ambos tratamientos, las semillas de </w:t>
      </w:r>
      <w:r w:rsidRPr="00E354FE">
        <w:rPr>
          <w:rFonts w:ascii="Times New Roman" w:eastAsia="Times New Roman" w:hAnsi="Times New Roman" w:cs="Times New Roman"/>
          <w:i/>
          <w:iCs/>
          <w:sz w:val="24"/>
          <w:szCs w:val="24"/>
          <w:lang w:eastAsia="es-PE"/>
        </w:rPr>
        <w:t>Lactuca sativa</w:t>
      </w:r>
      <w:r w:rsidRPr="00E354FE">
        <w:rPr>
          <w:rFonts w:ascii="Times New Roman" w:eastAsia="Times New Roman" w:hAnsi="Times New Roman" w:cs="Times New Roman"/>
          <w:sz w:val="24"/>
          <w:szCs w:val="24"/>
          <w:lang w:eastAsia="es-PE"/>
        </w:rPr>
        <w:t xml:space="preserve"> L. presentaron una emergencia nula en el día 0 </w:t>
      </w:r>
      <w:r w:rsidRPr="00E354FE">
        <w:rPr>
          <w:rFonts w:ascii="Times New Roman" w:eastAsia="Times New Roman" w:hAnsi="Times New Roman" w:cs="Times New Roman"/>
          <w:i/>
          <w:iCs/>
          <w:sz w:val="24"/>
          <w:szCs w:val="24"/>
          <w:lang w:eastAsia="es-PE"/>
        </w:rPr>
        <w:t>(Figura 1)</w:t>
      </w:r>
      <w:r w:rsidRPr="00E354FE">
        <w:rPr>
          <w:rFonts w:ascii="Times New Roman" w:eastAsia="Times New Roman" w:hAnsi="Times New Roman" w:cs="Times New Roman"/>
          <w:sz w:val="24"/>
          <w:szCs w:val="24"/>
          <w:lang w:eastAsia="es-PE"/>
        </w:rPr>
        <w:t>. A partir del día 1, se observaron las primeras semillas germinadas, siendo ligeramente superior en el tratamiento sin luz (x̄ = 5.00 ± 3.22 semillas) en comparación con el tratamiento con luz (x̄ = 3.83 ± 3.49 semillas). El pico máximo de germinación diaria se registró en el día 2 para ambos tratamientos: con luz (x̄ = 15.50 ± 3.45) y sin luz (x̄ = 16.33 ± 3.44). A partir del día 3, la actividad germinativa decreció marcadamente en ambos grupos, y los días 4 y 5 presentaron valores mínimos o nulos, con excepción de una réplica del tratamiento con luz que prolongó su germinación hasta el día 5.</w:t>
      </w:r>
      <w:r w:rsidRPr="00E354FE">
        <w:t xml:space="preserve"> </w:t>
      </w:r>
    </w:p>
    <w:p w14:paraId="232F53DF" w14:textId="74E3EAD3" w:rsidR="00E354FE" w:rsidRDefault="00E354FE" w:rsidP="00E354FE">
      <w:pPr>
        <w:spacing w:before="100" w:beforeAutospacing="1" w:after="100" w:afterAutospacing="1" w:line="360" w:lineRule="auto"/>
        <w:jc w:val="center"/>
        <w:rPr>
          <w:rFonts w:ascii="Times New Roman" w:eastAsia="Times New Roman" w:hAnsi="Times New Roman" w:cs="Times New Roman"/>
          <w:sz w:val="24"/>
          <w:szCs w:val="24"/>
          <w:lang w:eastAsia="es-PE"/>
        </w:rPr>
      </w:pPr>
      <w:r>
        <w:rPr>
          <w:noProof/>
        </w:rPr>
        <w:drawing>
          <wp:inline distT="0" distB="0" distL="0" distR="0" wp14:anchorId="0590E152" wp14:editId="1A09613C">
            <wp:extent cx="4195445" cy="2669414"/>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5" cstate="print">
                      <a:extLst>
                        <a:ext uri="{28A0092B-C50C-407E-A947-70E740481C1C}">
                          <a14:useLocalDpi xmlns:a14="http://schemas.microsoft.com/office/drawing/2010/main" val="0"/>
                        </a:ext>
                      </a:extLst>
                    </a:blip>
                    <a:srcRect t="9669"/>
                    <a:stretch/>
                  </pic:blipFill>
                  <pic:spPr bwMode="auto">
                    <a:xfrm>
                      <a:off x="0" y="0"/>
                      <a:ext cx="4206875" cy="2676687"/>
                    </a:xfrm>
                    <a:prstGeom prst="rect">
                      <a:avLst/>
                    </a:prstGeom>
                    <a:noFill/>
                    <a:ln>
                      <a:noFill/>
                    </a:ln>
                    <a:extLst>
                      <a:ext uri="{53640926-AAD7-44D8-BBD7-CCE9431645EC}">
                        <a14:shadowObscured xmlns:a14="http://schemas.microsoft.com/office/drawing/2010/main"/>
                      </a:ext>
                    </a:extLst>
                  </pic:spPr>
                </pic:pic>
              </a:graphicData>
            </a:graphic>
          </wp:inline>
        </w:drawing>
      </w:r>
    </w:p>
    <w:p w14:paraId="318F8D32" w14:textId="3C7BCD32" w:rsidR="00E354FE" w:rsidRPr="00E354FE" w:rsidRDefault="00E354FE" w:rsidP="00E354FE">
      <w:pPr>
        <w:spacing w:before="100" w:beforeAutospacing="1" w:after="100" w:afterAutospacing="1" w:line="360" w:lineRule="auto"/>
        <w:jc w:val="center"/>
        <w:rPr>
          <w:rFonts w:ascii="Times New Roman" w:eastAsia="Times New Roman" w:hAnsi="Times New Roman" w:cs="Times New Roman"/>
          <w:i/>
          <w:iCs/>
          <w:sz w:val="20"/>
          <w:szCs w:val="20"/>
          <w:lang w:eastAsia="es-PE"/>
        </w:rPr>
      </w:pPr>
      <w:r w:rsidRPr="00E354FE">
        <w:rPr>
          <w:rFonts w:ascii="Times New Roman" w:eastAsia="Times New Roman" w:hAnsi="Times New Roman" w:cs="Times New Roman"/>
          <w:i/>
          <w:iCs/>
          <w:sz w:val="20"/>
          <w:szCs w:val="20"/>
          <w:lang w:eastAsia="es-PE"/>
        </w:rPr>
        <w:t>Figura 1. Germinación diaria</w:t>
      </w:r>
      <w:r>
        <w:rPr>
          <w:rFonts w:ascii="Times New Roman" w:eastAsia="Times New Roman" w:hAnsi="Times New Roman" w:cs="Times New Roman"/>
          <w:i/>
          <w:iCs/>
          <w:sz w:val="20"/>
          <w:szCs w:val="20"/>
          <w:lang w:eastAsia="es-PE"/>
        </w:rPr>
        <w:t>.</w:t>
      </w:r>
    </w:p>
    <w:p w14:paraId="69B161F5" w14:textId="77777777" w:rsidR="00E354FE" w:rsidRPr="00E354FE" w:rsidRDefault="00E354FE" w:rsidP="00E354FE">
      <w:pPr>
        <w:spacing w:before="100" w:beforeAutospacing="1" w:after="100" w:afterAutospacing="1" w:line="360" w:lineRule="auto"/>
        <w:jc w:val="both"/>
        <w:outlineLvl w:val="2"/>
        <w:rPr>
          <w:rFonts w:ascii="Times New Roman" w:eastAsia="Times New Roman" w:hAnsi="Times New Roman" w:cs="Times New Roman"/>
          <w:b/>
          <w:bCs/>
          <w:sz w:val="24"/>
          <w:szCs w:val="24"/>
          <w:lang w:eastAsia="es-PE"/>
        </w:rPr>
      </w:pPr>
      <w:r w:rsidRPr="00E354FE">
        <w:rPr>
          <w:rFonts w:ascii="Times New Roman" w:eastAsia="Times New Roman" w:hAnsi="Times New Roman" w:cs="Times New Roman"/>
          <w:b/>
          <w:bCs/>
          <w:sz w:val="24"/>
          <w:szCs w:val="24"/>
          <w:lang w:eastAsia="es-PE"/>
        </w:rPr>
        <w:t>Germinación acumulada</w:t>
      </w:r>
    </w:p>
    <w:p w14:paraId="47F3ED3A" w14:textId="77777777" w:rsidR="00E354FE" w:rsidRDefault="00E354FE" w:rsidP="00E354FE">
      <w:pPr>
        <w:spacing w:before="100" w:beforeAutospacing="1" w:after="100" w:afterAutospacing="1" w:line="360" w:lineRule="auto"/>
        <w:jc w:val="both"/>
        <w:rPr>
          <w:noProof/>
        </w:rPr>
      </w:pPr>
      <w:r w:rsidRPr="00E354FE">
        <w:rPr>
          <w:rFonts w:ascii="Times New Roman" w:eastAsia="Times New Roman" w:hAnsi="Times New Roman" w:cs="Times New Roman"/>
          <w:sz w:val="24"/>
          <w:szCs w:val="24"/>
          <w:lang w:eastAsia="es-PE"/>
        </w:rPr>
        <w:t xml:space="preserve">La curva de germinación acumulada </w:t>
      </w:r>
      <w:r w:rsidRPr="00E354FE">
        <w:rPr>
          <w:rFonts w:ascii="Times New Roman" w:eastAsia="Times New Roman" w:hAnsi="Times New Roman" w:cs="Times New Roman"/>
          <w:i/>
          <w:iCs/>
          <w:sz w:val="24"/>
          <w:szCs w:val="24"/>
          <w:lang w:eastAsia="es-PE"/>
        </w:rPr>
        <w:t>(Figura 2)</w:t>
      </w:r>
      <w:r w:rsidRPr="00E354FE">
        <w:rPr>
          <w:rFonts w:ascii="Times New Roman" w:eastAsia="Times New Roman" w:hAnsi="Times New Roman" w:cs="Times New Roman"/>
          <w:sz w:val="24"/>
          <w:szCs w:val="24"/>
          <w:lang w:eastAsia="es-PE"/>
        </w:rPr>
        <w:t xml:space="preserve"> muestra un patrón sigmoide en ambos tratamientos, con una fase de latencia en el día 0, una fase de germinación masiva entre los días 1 y 3, y una fase de estabilización a partir del día 4. Al finalizar el período de evaluación (día 5), el tratamiento con luz alcanzó una germinación acumulada media de 24.50 semillas y el tratamiento sin luz de 24.17 semillas, de un total de 25 semillas sembradas por unidad experimental.</w:t>
      </w:r>
      <w:r w:rsidRPr="00E354FE">
        <w:t xml:space="preserve"> </w:t>
      </w:r>
    </w:p>
    <w:p w14:paraId="5507ECF0" w14:textId="3F3265F0" w:rsidR="00E354FE" w:rsidRDefault="00E354FE" w:rsidP="00E354FE">
      <w:pPr>
        <w:spacing w:before="100" w:beforeAutospacing="1" w:after="100" w:afterAutospacing="1" w:line="360" w:lineRule="auto"/>
        <w:jc w:val="center"/>
        <w:rPr>
          <w:rFonts w:ascii="Times New Roman" w:eastAsia="Times New Roman" w:hAnsi="Times New Roman" w:cs="Times New Roman"/>
          <w:sz w:val="24"/>
          <w:szCs w:val="24"/>
          <w:lang w:eastAsia="es-PE"/>
        </w:rPr>
      </w:pPr>
      <w:r>
        <w:rPr>
          <w:noProof/>
        </w:rPr>
        <w:lastRenderedPageBreak/>
        <w:drawing>
          <wp:inline distT="0" distB="0" distL="0" distR="0" wp14:anchorId="01655D8E" wp14:editId="215D7E5B">
            <wp:extent cx="4152283" cy="2660015"/>
            <wp:effectExtent l="0" t="0" r="635" b="698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t="9112"/>
                    <a:stretch/>
                  </pic:blipFill>
                  <pic:spPr bwMode="auto">
                    <a:xfrm>
                      <a:off x="0" y="0"/>
                      <a:ext cx="4167078" cy="2669493"/>
                    </a:xfrm>
                    <a:prstGeom prst="rect">
                      <a:avLst/>
                    </a:prstGeom>
                    <a:noFill/>
                    <a:ln>
                      <a:noFill/>
                    </a:ln>
                    <a:extLst>
                      <a:ext uri="{53640926-AAD7-44D8-BBD7-CCE9431645EC}">
                        <a14:shadowObscured xmlns:a14="http://schemas.microsoft.com/office/drawing/2010/main"/>
                      </a:ext>
                    </a:extLst>
                  </pic:spPr>
                </pic:pic>
              </a:graphicData>
            </a:graphic>
          </wp:inline>
        </w:drawing>
      </w:r>
    </w:p>
    <w:p w14:paraId="1116AF66" w14:textId="736A81AD" w:rsidR="00E354FE" w:rsidRPr="00E354FE" w:rsidRDefault="00E354FE" w:rsidP="00E354FE">
      <w:pPr>
        <w:spacing w:before="100" w:beforeAutospacing="1" w:after="100" w:afterAutospacing="1" w:line="360" w:lineRule="auto"/>
        <w:jc w:val="center"/>
        <w:rPr>
          <w:rFonts w:ascii="Times New Roman" w:eastAsia="Times New Roman" w:hAnsi="Times New Roman" w:cs="Times New Roman"/>
          <w:i/>
          <w:iCs/>
          <w:sz w:val="20"/>
          <w:szCs w:val="20"/>
          <w:lang w:eastAsia="es-PE"/>
        </w:rPr>
      </w:pPr>
      <w:r w:rsidRPr="00E354FE">
        <w:rPr>
          <w:rFonts w:ascii="Times New Roman" w:eastAsia="Times New Roman" w:hAnsi="Times New Roman" w:cs="Times New Roman"/>
          <w:i/>
          <w:iCs/>
          <w:sz w:val="20"/>
          <w:szCs w:val="20"/>
          <w:lang w:eastAsia="es-PE"/>
        </w:rPr>
        <w:t>Figura 2. Germinación acumulada.</w:t>
      </w:r>
    </w:p>
    <w:p w14:paraId="2C199379" w14:textId="1883C659" w:rsidR="00E354FE" w:rsidRPr="00E354FE" w:rsidRDefault="00E354FE" w:rsidP="00E354FE">
      <w:pPr>
        <w:spacing w:before="100" w:beforeAutospacing="1" w:after="100" w:afterAutospacing="1" w:line="360" w:lineRule="auto"/>
        <w:jc w:val="both"/>
        <w:outlineLvl w:val="2"/>
        <w:rPr>
          <w:rFonts w:ascii="Times New Roman" w:eastAsia="Times New Roman" w:hAnsi="Times New Roman" w:cs="Times New Roman"/>
          <w:b/>
          <w:bCs/>
          <w:sz w:val="24"/>
          <w:szCs w:val="24"/>
          <w:lang w:eastAsia="es-PE"/>
        </w:rPr>
      </w:pPr>
      <w:r>
        <w:rPr>
          <w:rFonts w:ascii="Times New Roman" w:eastAsia="Times New Roman" w:hAnsi="Times New Roman" w:cs="Times New Roman"/>
          <w:b/>
          <w:bCs/>
          <w:sz w:val="24"/>
          <w:szCs w:val="24"/>
          <w:lang w:eastAsia="es-PE"/>
        </w:rPr>
        <w:t>Germinación total de semillas</w:t>
      </w:r>
      <w:r w:rsidRPr="00E354FE">
        <w:rPr>
          <w:rFonts w:ascii="Times New Roman" w:eastAsia="Times New Roman" w:hAnsi="Times New Roman" w:cs="Times New Roman"/>
          <w:b/>
          <w:bCs/>
          <w:sz w:val="24"/>
          <w:szCs w:val="24"/>
          <w:lang w:eastAsia="es-PE"/>
        </w:rPr>
        <w:t xml:space="preserve"> y análisis estadístico</w:t>
      </w:r>
    </w:p>
    <w:p w14:paraId="6C3B4C17" w14:textId="1C0208F0" w:rsidR="00E354FE" w:rsidRDefault="00E354FE" w:rsidP="00E354FE">
      <w:pPr>
        <w:spacing w:before="100" w:beforeAutospacing="1" w:after="100" w:afterAutospacing="1" w:line="360" w:lineRule="auto"/>
        <w:jc w:val="both"/>
        <w:rPr>
          <w:rFonts w:ascii="Times New Roman" w:eastAsia="Times New Roman" w:hAnsi="Times New Roman" w:cs="Times New Roman"/>
          <w:sz w:val="24"/>
          <w:szCs w:val="24"/>
          <w:lang w:eastAsia="es-PE"/>
        </w:rPr>
      </w:pPr>
      <w:r w:rsidRPr="00E354FE">
        <w:rPr>
          <w:rFonts w:ascii="Times New Roman" w:eastAsia="Times New Roman" w:hAnsi="Times New Roman" w:cs="Times New Roman"/>
          <w:sz w:val="24"/>
          <w:szCs w:val="24"/>
          <w:lang w:eastAsia="es-PE"/>
        </w:rPr>
        <w:t xml:space="preserve">El total de semillas germinadas fue muy similar entre tratamientos: </w:t>
      </w:r>
      <w:r>
        <w:rPr>
          <w:rFonts w:ascii="Times New Roman" w:eastAsia="Times New Roman" w:hAnsi="Times New Roman" w:cs="Times New Roman"/>
          <w:sz w:val="24"/>
          <w:szCs w:val="24"/>
          <w:lang w:eastAsia="es-PE"/>
        </w:rPr>
        <w:t>c</w:t>
      </w:r>
      <w:r w:rsidRPr="00E354FE">
        <w:rPr>
          <w:rFonts w:ascii="Times New Roman" w:eastAsia="Times New Roman" w:hAnsi="Times New Roman" w:cs="Times New Roman"/>
          <w:sz w:val="24"/>
          <w:szCs w:val="24"/>
          <w:lang w:eastAsia="es-PE"/>
        </w:rPr>
        <w:t xml:space="preserve">on luz: 24.50 ± 0.84 y </w:t>
      </w:r>
      <w:r>
        <w:rPr>
          <w:rFonts w:ascii="Times New Roman" w:eastAsia="Times New Roman" w:hAnsi="Times New Roman" w:cs="Times New Roman"/>
          <w:sz w:val="24"/>
          <w:szCs w:val="24"/>
          <w:lang w:eastAsia="es-PE"/>
        </w:rPr>
        <w:t>s</w:t>
      </w:r>
      <w:r w:rsidRPr="00E354FE">
        <w:rPr>
          <w:rFonts w:ascii="Times New Roman" w:eastAsia="Times New Roman" w:hAnsi="Times New Roman" w:cs="Times New Roman"/>
          <w:sz w:val="24"/>
          <w:szCs w:val="24"/>
          <w:lang w:eastAsia="es-PE"/>
        </w:rPr>
        <w:t xml:space="preserve">in luz: 24.17 ± 0.98 semillas </w:t>
      </w:r>
      <w:r w:rsidRPr="00E354FE">
        <w:rPr>
          <w:rFonts w:ascii="Times New Roman" w:eastAsia="Times New Roman" w:hAnsi="Times New Roman" w:cs="Times New Roman"/>
          <w:i/>
          <w:iCs/>
          <w:sz w:val="24"/>
          <w:szCs w:val="24"/>
          <w:lang w:eastAsia="es-PE"/>
        </w:rPr>
        <w:t>(Figura 3)</w:t>
      </w:r>
      <w:r w:rsidRPr="00E354FE">
        <w:rPr>
          <w:rFonts w:ascii="Times New Roman" w:eastAsia="Times New Roman" w:hAnsi="Times New Roman" w:cs="Times New Roman"/>
          <w:sz w:val="24"/>
          <w:szCs w:val="24"/>
          <w:lang w:eastAsia="es-PE"/>
        </w:rPr>
        <w:t xml:space="preserve">. La prueba </w:t>
      </w:r>
      <w:r w:rsidRPr="00E354FE">
        <w:rPr>
          <w:rFonts w:ascii="Times New Roman" w:eastAsia="Times New Roman" w:hAnsi="Times New Roman" w:cs="Times New Roman"/>
          <w:i/>
          <w:iCs/>
          <w:sz w:val="24"/>
          <w:szCs w:val="24"/>
          <w:lang w:eastAsia="es-PE"/>
        </w:rPr>
        <w:t>t</w:t>
      </w:r>
      <w:r w:rsidRPr="00E354FE">
        <w:rPr>
          <w:rFonts w:ascii="Times New Roman" w:eastAsia="Times New Roman" w:hAnsi="Times New Roman" w:cs="Times New Roman"/>
          <w:sz w:val="24"/>
          <w:szCs w:val="24"/>
          <w:lang w:eastAsia="es-PE"/>
        </w:rPr>
        <w:t xml:space="preserve"> de Student no detectó diferencias estadísticamente significativas entre tratamientos (t = 0.632; p = 0.541), indicando que, bajo las condiciones experimentales del presente estudio, la presencia o ausencia de luz no afectó el total de semillas que germinaron.</w:t>
      </w:r>
    </w:p>
    <w:p w14:paraId="151D8D6C" w14:textId="27F8464D" w:rsidR="00E354FE" w:rsidRDefault="00E354FE" w:rsidP="00E354FE">
      <w:pPr>
        <w:spacing w:before="100" w:beforeAutospacing="1" w:after="100" w:afterAutospacing="1" w:line="360" w:lineRule="auto"/>
        <w:jc w:val="center"/>
        <w:rPr>
          <w:rFonts w:ascii="Times New Roman" w:eastAsia="Times New Roman" w:hAnsi="Times New Roman" w:cs="Times New Roman"/>
          <w:sz w:val="24"/>
          <w:szCs w:val="24"/>
          <w:lang w:eastAsia="es-PE"/>
        </w:rPr>
      </w:pPr>
      <w:r>
        <w:rPr>
          <w:noProof/>
        </w:rPr>
        <w:drawing>
          <wp:inline distT="0" distB="0" distL="0" distR="0" wp14:anchorId="0DC08DA9" wp14:editId="31D3932C">
            <wp:extent cx="4024312" cy="2989201"/>
            <wp:effectExtent l="0" t="0" r="0" b="190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t="9916"/>
                    <a:stretch/>
                  </pic:blipFill>
                  <pic:spPr bwMode="auto">
                    <a:xfrm>
                      <a:off x="0" y="0"/>
                      <a:ext cx="4054299" cy="3011475"/>
                    </a:xfrm>
                    <a:prstGeom prst="rect">
                      <a:avLst/>
                    </a:prstGeom>
                    <a:noFill/>
                    <a:ln>
                      <a:noFill/>
                    </a:ln>
                    <a:extLst>
                      <a:ext uri="{53640926-AAD7-44D8-BBD7-CCE9431645EC}">
                        <a14:shadowObscured xmlns:a14="http://schemas.microsoft.com/office/drawing/2010/main"/>
                      </a:ext>
                    </a:extLst>
                  </pic:spPr>
                </pic:pic>
              </a:graphicData>
            </a:graphic>
          </wp:inline>
        </w:drawing>
      </w:r>
    </w:p>
    <w:p w14:paraId="7AADD0AF" w14:textId="327418C8" w:rsidR="00E354FE" w:rsidRPr="00E354FE" w:rsidRDefault="00E354FE" w:rsidP="00E354FE">
      <w:pPr>
        <w:spacing w:before="100" w:beforeAutospacing="1" w:after="100" w:afterAutospacing="1" w:line="360" w:lineRule="auto"/>
        <w:jc w:val="center"/>
        <w:rPr>
          <w:rFonts w:ascii="Times New Roman" w:eastAsia="Times New Roman" w:hAnsi="Times New Roman" w:cs="Times New Roman"/>
          <w:i/>
          <w:iCs/>
          <w:sz w:val="20"/>
          <w:szCs w:val="20"/>
          <w:lang w:eastAsia="es-PE"/>
        </w:rPr>
      </w:pPr>
      <w:r w:rsidRPr="00E354FE">
        <w:rPr>
          <w:rFonts w:ascii="Times New Roman" w:eastAsia="Times New Roman" w:hAnsi="Times New Roman" w:cs="Times New Roman"/>
          <w:i/>
          <w:iCs/>
          <w:sz w:val="20"/>
          <w:szCs w:val="20"/>
          <w:lang w:eastAsia="es-PE"/>
        </w:rPr>
        <w:t>Figura 3. Germinación total por tratamiento.</w:t>
      </w:r>
    </w:p>
    <w:p w14:paraId="39E304F8" w14:textId="40D47C57" w:rsidR="00E354FE" w:rsidRPr="00E354FE" w:rsidRDefault="00E354FE" w:rsidP="00E354FE">
      <w:pPr>
        <w:spacing w:before="100" w:beforeAutospacing="1" w:after="100" w:afterAutospacing="1" w:line="360" w:lineRule="auto"/>
        <w:jc w:val="both"/>
        <w:outlineLvl w:val="2"/>
        <w:rPr>
          <w:rFonts w:ascii="Times New Roman" w:eastAsia="Times New Roman" w:hAnsi="Times New Roman" w:cs="Times New Roman"/>
          <w:b/>
          <w:bCs/>
          <w:sz w:val="24"/>
          <w:szCs w:val="24"/>
          <w:lang w:eastAsia="es-PE"/>
        </w:rPr>
      </w:pPr>
      <w:r w:rsidRPr="00E354FE">
        <w:rPr>
          <w:rFonts w:ascii="Times New Roman" w:eastAsia="Times New Roman" w:hAnsi="Times New Roman" w:cs="Times New Roman"/>
          <w:b/>
          <w:bCs/>
          <w:sz w:val="24"/>
          <w:szCs w:val="24"/>
          <w:lang w:eastAsia="es-PE"/>
        </w:rPr>
        <w:lastRenderedPageBreak/>
        <w:t xml:space="preserve">Tiempo </w:t>
      </w:r>
      <w:r w:rsidR="00E103B1">
        <w:rPr>
          <w:rFonts w:ascii="Times New Roman" w:eastAsia="Times New Roman" w:hAnsi="Times New Roman" w:cs="Times New Roman"/>
          <w:b/>
          <w:bCs/>
          <w:sz w:val="24"/>
          <w:szCs w:val="24"/>
          <w:lang w:eastAsia="es-PE"/>
        </w:rPr>
        <w:t>m</w:t>
      </w:r>
      <w:r w:rsidRPr="00E354FE">
        <w:rPr>
          <w:rFonts w:ascii="Times New Roman" w:eastAsia="Times New Roman" w:hAnsi="Times New Roman" w:cs="Times New Roman"/>
          <w:b/>
          <w:bCs/>
          <w:sz w:val="24"/>
          <w:szCs w:val="24"/>
          <w:lang w:eastAsia="es-PE"/>
        </w:rPr>
        <w:t xml:space="preserve">edio de </w:t>
      </w:r>
      <w:r w:rsidR="00E103B1">
        <w:rPr>
          <w:rFonts w:ascii="Times New Roman" w:eastAsia="Times New Roman" w:hAnsi="Times New Roman" w:cs="Times New Roman"/>
          <w:b/>
          <w:bCs/>
          <w:sz w:val="24"/>
          <w:szCs w:val="24"/>
          <w:lang w:eastAsia="es-PE"/>
        </w:rPr>
        <w:t>g</w:t>
      </w:r>
      <w:r w:rsidRPr="00E354FE">
        <w:rPr>
          <w:rFonts w:ascii="Times New Roman" w:eastAsia="Times New Roman" w:hAnsi="Times New Roman" w:cs="Times New Roman"/>
          <w:b/>
          <w:bCs/>
          <w:sz w:val="24"/>
          <w:szCs w:val="24"/>
          <w:lang w:eastAsia="es-PE"/>
        </w:rPr>
        <w:t xml:space="preserve">erminación (TMG) e Índice de </w:t>
      </w:r>
      <w:r w:rsidR="00E103B1">
        <w:rPr>
          <w:rFonts w:ascii="Times New Roman" w:eastAsia="Times New Roman" w:hAnsi="Times New Roman" w:cs="Times New Roman"/>
          <w:b/>
          <w:bCs/>
          <w:sz w:val="24"/>
          <w:szCs w:val="24"/>
          <w:lang w:eastAsia="es-PE"/>
        </w:rPr>
        <w:t>v</w:t>
      </w:r>
      <w:r w:rsidRPr="00E354FE">
        <w:rPr>
          <w:rFonts w:ascii="Times New Roman" w:eastAsia="Times New Roman" w:hAnsi="Times New Roman" w:cs="Times New Roman"/>
          <w:b/>
          <w:bCs/>
          <w:sz w:val="24"/>
          <w:szCs w:val="24"/>
          <w:lang w:eastAsia="es-PE"/>
        </w:rPr>
        <w:t xml:space="preserve">elocidad de </w:t>
      </w:r>
      <w:r w:rsidR="00E103B1">
        <w:rPr>
          <w:rFonts w:ascii="Times New Roman" w:eastAsia="Times New Roman" w:hAnsi="Times New Roman" w:cs="Times New Roman"/>
          <w:b/>
          <w:bCs/>
          <w:sz w:val="24"/>
          <w:szCs w:val="24"/>
          <w:lang w:eastAsia="es-PE"/>
        </w:rPr>
        <w:t>g</w:t>
      </w:r>
      <w:r w:rsidRPr="00E354FE">
        <w:rPr>
          <w:rFonts w:ascii="Times New Roman" w:eastAsia="Times New Roman" w:hAnsi="Times New Roman" w:cs="Times New Roman"/>
          <w:b/>
          <w:bCs/>
          <w:sz w:val="24"/>
          <w:szCs w:val="24"/>
          <w:lang w:eastAsia="es-PE"/>
        </w:rPr>
        <w:t>erminación (IVG)</w:t>
      </w:r>
    </w:p>
    <w:p w14:paraId="6F597C04" w14:textId="63BC44A4" w:rsidR="00E354FE" w:rsidRDefault="00E354FE" w:rsidP="00E354FE">
      <w:pPr>
        <w:spacing w:before="100" w:beforeAutospacing="1" w:after="100" w:afterAutospacing="1" w:line="360" w:lineRule="auto"/>
        <w:jc w:val="both"/>
        <w:rPr>
          <w:rFonts w:ascii="Times New Roman" w:eastAsia="Times New Roman" w:hAnsi="Times New Roman" w:cs="Times New Roman"/>
          <w:sz w:val="24"/>
          <w:szCs w:val="24"/>
          <w:lang w:eastAsia="es-PE"/>
        </w:rPr>
      </w:pPr>
      <w:r w:rsidRPr="00E354FE">
        <w:rPr>
          <w:rFonts w:ascii="Times New Roman" w:eastAsia="Times New Roman" w:hAnsi="Times New Roman" w:cs="Times New Roman"/>
          <w:sz w:val="24"/>
          <w:szCs w:val="24"/>
          <w:lang w:eastAsia="es-PE"/>
        </w:rPr>
        <w:t xml:space="preserve">El TMG fue de 2.13 ± 0.48 días para </w:t>
      </w:r>
      <w:r w:rsidR="00E103B1">
        <w:rPr>
          <w:rFonts w:ascii="Times New Roman" w:eastAsia="Times New Roman" w:hAnsi="Times New Roman" w:cs="Times New Roman"/>
          <w:sz w:val="24"/>
          <w:szCs w:val="24"/>
          <w:lang w:eastAsia="es-PE"/>
        </w:rPr>
        <w:t>c</w:t>
      </w:r>
      <w:r w:rsidRPr="00E354FE">
        <w:rPr>
          <w:rFonts w:ascii="Times New Roman" w:eastAsia="Times New Roman" w:hAnsi="Times New Roman" w:cs="Times New Roman"/>
          <w:sz w:val="24"/>
          <w:szCs w:val="24"/>
          <w:lang w:eastAsia="es-PE"/>
        </w:rPr>
        <w:t xml:space="preserve">on luz y de 1.92 ± 0.41 días para </w:t>
      </w:r>
      <w:r w:rsidR="00E103B1">
        <w:rPr>
          <w:rFonts w:ascii="Times New Roman" w:eastAsia="Times New Roman" w:hAnsi="Times New Roman" w:cs="Times New Roman"/>
          <w:sz w:val="24"/>
          <w:szCs w:val="24"/>
          <w:lang w:eastAsia="es-PE"/>
        </w:rPr>
        <w:t>s</w:t>
      </w:r>
      <w:r w:rsidRPr="00E354FE">
        <w:rPr>
          <w:rFonts w:ascii="Times New Roman" w:eastAsia="Times New Roman" w:hAnsi="Times New Roman" w:cs="Times New Roman"/>
          <w:sz w:val="24"/>
          <w:szCs w:val="24"/>
          <w:lang w:eastAsia="es-PE"/>
        </w:rPr>
        <w:t>in luz, sugiriendo una leve tendencia a germinar más rápido en ausencia de luz, aunque sin diferencias significativas. El IVG fue ligeramente mayor en el tratamiento sin luz (14.10 ± 4.57) que en el tratamiento con luz (13.15 ± 3.30).</w:t>
      </w:r>
    </w:p>
    <w:p w14:paraId="39C5AEF5" w14:textId="2C5F781D" w:rsidR="00E103B1" w:rsidRDefault="00E103B1" w:rsidP="00E103B1">
      <w:pPr>
        <w:spacing w:before="100" w:beforeAutospacing="1" w:after="100" w:afterAutospacing="1" w:line="360" w:lineRule="auto"/>
        <w:jc w:val="center"/>
        <w:rPr>
          <w:rFonts w:ascii="Times New Roman" w:eastAsia="Times New Roman" w:hAnsi="Times New Roman" w:cs="Times New Roman"/>
          <w:sz w:val="24"/>
          <w:szCs w:val="24"/>
          <w:lang w:eastAsia="es-PE"/>
        </w:rPr>
      </w:pPr>
      <w:r>
        <w:rPr>
          <w:noProof/>
        </w:rPr>
        <w:drawing>
          <wp:inline distT="0" distB="0" distL="0" distR="0" wp14:anchorId="0554F766" wp14:editId="5E3097C3">
            <wp:extent cx="5400040" cy="2277427"/>
            <wp:effectExtent l="0" t="0" r="0" b="889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t="11640"/>
                    <a:stretch/>
                  </pic:blipFill>
                  <pic:spPr bwMode="auto">
                    <a:xfrm>
                      <a:off x="0" y="0"/>
                      <a:ext cx="5400040" cy="2277427"/>
                    </a:xfrm>
                    <a:prstGeom prst="rect">
                      <a:avLst/>
                    </a:prstGeom>
                    <a:noFill/>
                    <a:ln>
                      <a:noFill/>
                    </a:ln>
                    <a:extLst>
                      <a:ext uri="{53640926-AAD7-44D8-BBD7-CCE9431645EC}">
                        <a14:shadowObscured xmlns:a14="http://schemas.microsoft.com/office/drawing/2010/main"/>
                      </a:ext>
                    </a:extLst>
                  </pic:spPr>
                </pic:pic>
              </a:graphicData>
            </a:graphic>
          </wp:inline>
        </w:drawing>
      </w:r>
    </w:p>
    <w:p w14:paraId="135B2455" w14:textId="2A8D9597" w:rsidR="00E103B1" w:rsidRPr="00E103B1" w:rsidRDefault="00E103B1" w:rsidP="00E103B1">
      <w:pPr>
        <w:spacing w:before="100" w:beforeAutospacing="1" w:after="100" w:afterAutospacing="1" w:line="360" w:lineRule="auto"/>
        <w:jc w:val="center"/>
        <w:rPr>
          <w:rFonts w:ascii="Times New Roman" w:eastAsia="Times New Roman" w:hAnsi="Times New Roman" w:cs="Times New Roman"/>
          <w:i/>
          <w:iCs/>
          <w:sz w:val="20"/>
          <w:szCs w:val="20"/>
          <w:lang w:eastAsia="es-PE"/>
        </w:rPr>
      </w:pPr>
      <w:r w:rsidRPr="00E103B1">
        <w:rPr>
          <w:rFonts w:ascii="Times New Roman" w:eastAsia="Times New Roman" w:hAnsi="Times New Roman" w:cs="Times New Roman"/>
          <w:i/>
          <w:iCs/>
          <w:sz w:val="20"/>
          <w:szCs w:val="20"/>
          <w:lang w:eastAsia="es-PE"/>
        </w:rPr>
        <w:t>Figura 4. Indicadores de germinación bajo condiciones de luz y oscuridad.</w:t>
      </w:r>
    </w:p>
    <w:p w14:paraId="0BE8F804" w14:textId="77777777" w:rsidR="00E103B1" w:rsidRDefault="00E103B1" w:rsidP="00E354FE">
      <w:pPr>
        <w:spacing w:before="100" w:beforeAutospacing="1" w:after="100" w:afterAutospacing="1" w:line="360" w:lineRule="auto"/>
        <w:jc w:val="both"/>
        <w:outlineLvl w:val="1"/>
        <w:rPr>
          <w:rFonts w:ascii="Times New Roman" w:eastAsia="Times New Roman" w:hAnsi="Times New Roman" w:cs="Times New Roman"/>
          <w:b/>
          <w:bCs/>
          <w:sz w:val="24"/>
          <w:szCs w:val="24"/>
          <w:lang w:eastAsia="es-PE"/>
        </w:rPr>
      </w:pPr>
    </w:p>
    <w:p w14:paraId="56F78C54" w14:textId="53D0CA2D" w:rsidR="00E354FE" w:rsidRPr="00E354FE" w:rsidRDefault="00E354FE" w:rsidP="00E354FE">
      <w:pPr>
        <w:spacing w:before="100" w:beforeAutospacing="1" w:after="100" w:afterAutospacing="1" w:line="360" w:lineRule="auto"/>
        <w:jc w:val="both"/>
        <w:outlineLvl w:val="1"/>
        <w:rPr>
          <w:rFonts w:ascii="Times New Roman" w:eastAsia="Times New Roman" w:hAnsi="Times New Roman" w:cs="Times New Roman"/>
          <w:b/>
          <w:bCs/>
          <w:sz w:val="24"/>
          <w:szCs w:val="24"/>
          <w:lang w:eastAsia="es-PE"/>
        </w:rPr>
      </w:pPr>
      <w:r w:rsidRPr="00E354FE">
        <w:rPr>
          <w:rFonts w:ascii="Times New Roman" w:eastAsia="Times New Roman" w:hAnsi="Times New Roman" w:cs="Times New Roman"/>
          <w:b/>
          <w:bCs/>
          <w:sz w:val="24"/>
          <w:szCs w:val="24"/>
          <w:lang w:eastAsia="es-PE"/>
        </w:rPr>
        <w:t>DISCUSIÓN</w:t>
      </w:r>
    </w:p>
    <w:p w14:paraId="71CF5B7D" w14:textId="77777777" w:rsidR="00E354FE" w:rsidRPr="00E354FE" w:rsidRDefault="00E354FE" w:rsidP="00E354FE">
      <w:pPr>
        <w:spacing w:before="100" w:beforeAutospacing="1" w:after="100" w:afterAutospacing="1" w:line="360" w:lineRule="auto"/>
        <w:jc w:val="both"/>
        <w:outlineLvl w:val="2"/>
        <w:rPr>
          <w:rFonts w:ascii="Times New Roman" w:eastAsia="Times New Roman" w:hAnsi="Times New Roman" w:cs="Times New Roman"/>
          <w:b/>
          <w:bCs/>
          <w:sz w:val="24"/>
          <w:szCs w:val="24"/>
          <w:lang w:eastAsia="es-PE"/>
        </w:rPr>
      </w:pPr>
      <w:r w:rsidRPr="00E354FE">
        <w:rPr>
          <w:rFonts w:ascii="Times New Roman" w:eastAsia="Times New Roman" w:hAnsi="Times New Roman" w:cs="Times New Roman"/>
          <w:b/>
          <w:bCs/>
          <w:sz w:val="24"/>
          <w:szCs w:val="24"/>
          <w:lang w:eastAsia="es-PE"/>
        </w:rPr>
        <w:t>Efecto de la luz en la germinación de lechuga</w:t>
      </w:r>
    </w:p>
    <w:p w14:paraId="3AF5B69B" w14:textId="77777777" w:rsidR="00E354FE" w:rsidRPr="00E354FE" w:rsidRDefault="00E354FE" w:rsidP="00E354FE">
      <w:pPr>
        <w:spacing w:before="100" w:beforeAutospacing="1" w:after="100" w:afterAutospacing="1" w:line="360" w:lineRule="auto"/>
        <w:jc w:val="both"/>
        <w:rPr>
          <w:rFonts w:ascii="Times New Roman" w:eastAsia="Times New Roman" w:hAnsi="Times New Roman" w:cs="Times New Roman"/>
          <w:sz w:val="24"/>
          <w:szCs w:val="24"/>
          <w:lang w:eastAsia="es-PE"/>
        </w:rPr>
      </w:pPr>
      <w:r w:rsidRPr="00E354FE">
        <w:rPr>
          <w:rFonts w:ascii="Times New Roman" w:eastAsia="Times New Roman" w:hAnsi="Times New Roman" w:cs="Times New Roman"/>
          <w:sz w:val="24"/>
          <w:szCs w:val="24"/>
          <w:lang w:eastAsia="es-PE"/>
        </w:rPr>
        <w:t xml:space="preserve">La germinación de semillas es un proceso complejo regulado por factores internos (reservas energéticas, hormonas, madurez fisiológica) y externos (temperatura, humedad, luz, oxígeno) (Bewley et al., 2013). En el caso de </w:t>
      </w:r>
      <w:r w:rsidRPr="00E354FE">
        <w:rPr>
          <w:rFonts w:ascii="Times New Roman" w:eastAsia="Times New Roman" w:hAnsi="Times New Roman" w:cs="Times New Roman"/>
          <w:i/>
          <w:iCs/>
          <w:sz w:val="24"/>
          <w:szCs w:val="24"/>
          <w:lang w:eastAsia="es-PE"/>
        </w:rPr>
        <w:t>Lactuca sativa</w:t>
      </w:r>
      <w:r w:rsidRPr="00E354FE">
        <w:rPr>
          <w:rFonts w:ascii="Times New Roman" w:eastAsia="Times New Roman" w:hAnsi="Times New Roman" w:cs="Times New Roman"/>
          <w:sz w:val="24"/>
          <w:szCs w:val="24"/>
          <w:lang w:eastAsia="es-PE"/>
        </w:rPr>
        <w:t>, la sensibilidad a la luz ha sido ampliamente documentada y constituye uno de los sistemas de fotorreceptores más estudiados en plantas.</w:t>
      </w:r>
    </w:p>
    <w:p w14:paraId="7F6B3D3C" w14:textId="77777777" w:rsidR="00E354FE" w:rsidRPr="00E354FE" w:rsidRDefault="00E354FE" w:rsidP="00E354FE">
      <w:pPr>
        <w:spacing w:before="100" w:beforeAutospacing="1" w:after="100" w:afterAutospacing="1" w:line="360" w:lineRule="auto"/>
        <w:jc w:val="both"/>
        <w:rPr>
          <w:rFonts w:ascii="Times New Roman" w:eastAsia="Times New Roman" w:hAnsi="Times New Roman" w:cs="Times New Roman"/>
          <w:sz w:val="24"/>
          <w:szCs w:val="24"/>
          <w:lang w:eastAsia="es-PE"/>
        </w:rPr>
      </w:pPr>
      <w:r w:rsidRPr="00E354FE">
        <w:rPr>
          <w:rFonts w:ascii="Times New Roman" w:eastAsia="Times New Roman" w:hAnsi="Times New Roman" w:cs="Times New Roman"/>
          <w:sz w:val="24"/>
          <w:szCs w:val="24"/>
          <w:lang w:eastAsia="es-PE"/>
        </w:rPr>
        <w:t xml:space="preserve">La respuesta fotoperiódica en la lechuga está mediada principalmente por el fitocromo, un fotorreceptor proteico que existe en dos formas interconvertibles: Pr (absorbente de luz roja, λ ≈ 660 nm) y </w:t>
      </w:r>
      <w:proofErr w:type="spellStart"/>
      <w:r w:rsidRPr="00E354FE">
        <w:rPr>
          <w:rFonts w:ascii="Times New Roman" w:eastAsia="Times New Roman" w:hAnsi="Times New Roman" w:cs="Times New Roman"/>
          <w:sz w:val="24"/>
          <w:szCs w:val="24"/>
          <w:lang w:eastAsia="es-PE"/>
        </w:rPr>
        <w:t>Pfr</w:t>
      </w:r>
      <w:proofErr w:type="spellEnd"/>
      <w:r w:rsidRPr="00E354FE">
        <w:rPr>
          <w:rFonts w:ascii="Times New Roman" w:eastAsia="Times New Roman" w:hAnsi="Times New Roman" w:cs="Times New Roman"/>
          <w:sz w:val="24"/>
          <w:szCs w:val="24"/>
          <w:lang w:eastAsia="es-PE"/>
        </w:rPr>
        <w:t xml:space="preserve"> (absorbente de luz rojo lejano, λ ≈ 730 nm). La forma </w:t>
      </w:r>
      <w:proofErr w:type="spellStart"/>
      <w:r w:rsidRPr="00E354FE">
        <w:rPr>
          <w:rFonts w:ascii="Times New Roman" w:eastAsia="Times New Roman" w:hAnsi="Times New Roman" w:cs="Times New Roman"/>
          <w:sz w:val="24"/>
          <w:szCs w:val="24"/>
          <w:lang w:eastAsia="es-PE"/>
        </w:rPr>
        <w:t>Pfr</w:t>
      </w:r>
      <w:proofErr w:type="spellEnd"/>
      <w:r w:rsidRPr="00E354FE">
        <w:rPr>
          <w:rFonts w:ascii="Times New Roman" w:eastAsia="Times New Roman" w:hAnsi="Times New Roman" w:cs="Times New Roman"/>
          <w:sz w:val="24"/>
          <w:szCs w:val="24"/>
          <w:lang w:eastAsia="es-PE"/>
        </w:rPr>
        <w:t xml:space="preserve"> es la biológicamente activa y promueve la germinación al interactuar con factores de transcripción tipo PIF (</w:t>
      </w:r>
      <w:proofErr w:type="spellStart"/>
      <w:r w:rsidRPr="00E354FE">
        <w:rPr>
          <w:rFonts w:ascii="Times New Roman" w:eastAsia="Times New Roman" w:hAnsi="Times New Roman" w:cs="Times New Roman"/>
          <w:i/>
          <w:iCs/>
          <w:sz w:val="24"/>
          <w:szCs w:val="24"/>
          <w:lang w:eastAsia="es-PE"/>
        </w:rPr>
        <w:t>Phytochrome</w:t>
      </w:r>
      <w:proofErr w:type="spellEnd"/>
      <w:r w:rsidRPr="00E354FE">
        <w:rPr>
          <w:rFonts w:ascii="Times New Roman" w:eastAsia="Times New Roman" w:hAnsi="Times New Roman" w:cs="Times New Roman"/>
          <w:i/>
          <w:iCs/>
          <w:sz w:val="24"/>
          <w:szCs w:val="24"/>
          <w:lang w:eastAsia="es-PE"/>
        </w:rPr>
        <w:t xml:space="preserve"> </w:t>
      </w:r>
      <w:proofErr w:type="spellStart"/>
      <w:r w:rsidRPr="00E354FE">
        <w:rPr>
          <w:rFonts w:ascii="Times New Roman" w:eastAsia="Times New Roman" w:hAnsi="Times New Roman" w:cs="Times New Roman"/>
          <w:i/>
          <w:iCs/>
          <w:sz w:val="24"/>
          <w:szCs w:val="24"/>
          <w:lang w:eastAsia="es-PE"/>
        </w:rPr>
        <w:t>Interacting</w:t>
      </w:r>
      <w:proofErr w:type="spellEnd"/>
      <w:r w:rsidRPr="00E354FE">
        <w:rPr>
          <w:rFonts w:ascii="Times New Roman" w:eastAsia="Times New Roman" w:hAnsi="Times New Roman" w:cs="Times New Roman"/>
          <w:i/>
          <w:iCs/>
          <w:sz w:val="24"/>
          <w:szCs w:val="24"/>
          <w:lang w:eastAsia="es-PE"/>
        </w:rPr>
        <w:t xml:space="preserve"> </w:t>
      </w:r>
      <w:proofErr w:type="spellStart"/>
      <w:r w:rsidRPr="00E354FE">
        <w:rPr>
          <w:rFonts w:ascii="Times New Roman" w:eastAsia="Times New Roman" w:hAnsi="Times New Roman" w:cs="Times New Roman"/>
          <w:i/>
          <w:iCs/>
          <w:sz w:val="24"/>
          <w:szCs w:val="24"/>
          <w:lang w:eastAsia="es-PE"/>
        </w:rPr>
        <w:t>Factors</w:t>
      </w:r>
      <w:proofErr w:type="spellEnd"/>
      <w:r w:rsidRPr="00E354FE">
        <w:rPr>
          <w:rFonts w:ascii="Times New Roman" w:eastAsia="Times New Roman" w:hAnsi="Times New Roman" w:cs="Times New Roman"/>
          <w:sz w:val="24"/>
          <w:szCs w:val="24"/>
          <w:lang w:eastAsia="es-PE"/>
        </w:rPr>
        <w:t xml:space="preserve">), que regulan la síntesis de </w:t>
      </w:r>
      <w:r w:rsidRPr="00E354FE">
        <w:rPr>
          <w:rFonts w:ascii="Times New Roman" w:eastAsia="Times New Roman" w:hAnsi="Times New Roman" w:cs="Times New Roman"/>
          <w:sz w:val="24"/>
          <w:szCs w:val="24"/>
          <w:lang w:eastAsia="es-PE"/>
        </w:rPr>
        <w:lastRenderedPageBreak/>
        <w:t>giberelinas y la degradación de ABA (ácido abscísico), permitiendo la elongación del embrión y la ruptura de la testa (Quail, 2002; Finch-Savage &amp; Leubner-Metzger, 2006).</w:t>
      </w:r>
    </w:p>
    <w:p w14:paraId="50191A56" w14:textId="77777777" w:rsidR="00E354FE" w:rsidRPr="00E354FE" w:rsidRDefault="00E354FE" w:rsidP="00E354FE">
      <w:pPr>
        <w:spacing w:before="100" w:beforeAutospacing="1" w:after="100" w:afterAutospacing="1" w:line="360" w:lineRule="auto"/>
        <w:jc w:val="both"/>
        <w:rPr>
          <w:rFonts w:ascii="Times New Roman" w:eastAsia="Times New Roman" w:hAnsi="Times New Roman" w:cs="Times New Roman"/>
          <w:sz w:val="24"/>
          <w:szCs w:val="24"/>
          <w:lang w:eastAsia="es-PE"/>
        </w:rPr>
      </w:pPr>
      <w:r w:rsidRPr="00E354FE">
        <w:rPr>
          <w:rFonts w:ascii="Times New Roman" w:eastAsia="Times New Roman" w:hAnsi="Times New Roman" w:cs="Times New Roman"/>
          <w:sz w:val="24"/>
          <w:szCs w:val="24"/>
          <w:lang w:eastAsia="es-PE"/>
        </w:rPr>
        <w:t xml:space="preserve">Clásicamente, se esperaría que las semillas de lechuga bajo oscuridad germinen en menor proporción o más lentamente, dado que el fitocromo en forma Pr (inactiva) predomina en ausencia de luz (Borthwick et al., 1952). Sin embargo, los resultados del presente experimento mostraron que la presencia o ausencia de luz no afectó significativamente ni el total de germinación ni la velocidad germinativa (p = 0.541). Esto concuerda con lo reportado por </w:t>
      </w:r>
      <w:proofErr w:type="spellStart"/>
      <w:r w:rsidRPr="00E354FE">
        <w:rPr>
          <w:rFonts w:ascii="Times New Roman" w:eastAsia="Times New Roman" w:hAnsi="Times New Roman" w:cs="Times New Roman"/>
          <w:sz w:val="24"/>
          <w:szCs w:val="24"/>
          <w:lang w:eastAsia="es-PE"/>
        </w:rPr>
        <w:t>Yanniccari</w:t>
      </w:r>
      <w:proofErr w:type="spellEnd"/>
      <w:r w:rsidRPr="00E354FE">
        <w:rPr>
          <w:rFonts w:ascii="Times New Roman" w:eastAsia="Times New Roman" w:hAnsi="Times New Roman" w:cs="Times New Roman"/>
          <w:sz w:val="24"/>
          <w:szCs w:val="24"/>
          <w:lang w:eastAsia="es-PE"/>
        </w:rPr>
        <w:t xml:space="preserve"> et al. (2012), quienes señalan que semillas con alto vigor germinativo pueden expresar una respuesta mínima al fotoperiodo cuando las condiciones de temperatura y humedad son óptimas, dado que una pequeña fracción de </w:t>
      </w:r>
      <w:proofErr w:type="spellStart"/>
      <w:r w:rsidRPr="00E354FE">
        <w:rPr>
          <w:rFonts w:ascii="Times New Roman" w:eastAsia="Times New Roman" w:hAnsi="Times New Roman" w:cs="Times New Roman"/>
          <w:sz w:val="24"/>
          <w:szCs w:val="24"/>
          <w:lang w:eastAsia="es-PE"/>
        </w:rPr>
        <w:t>Pfr</w:t>
      </w:r>
      <w:proofErr w:type="spellEnd"/>
      <w:r w:rsidRPr="00E354FE">
        <w:rPr>
          <w:rFonts w:ascii="Times New Roman" w:eastAsia="Times New Roman" w:hAnsi="Times New Roman" w:cs="Times New Roman"/>
          <w:sz w:val="24"/>
          <w:szCs w:val="24"/>
          <w:lang w:eastAsia="es-PE"/>
        </w:rPr>
        <w:t xml:space="preserve"> puede persistir en las semillas maduras incluso sin exposición lumínica.</w:t>
      </w:r>
    </w:p>
    <w:p w14:paraId="6E1432AD" w14:textId="77777777" w:rsidR="00E354FE" w:rsidRPr="00E354FE" w:rsidRDefault="00E354FE" w:rsidP="00E354FE">
      <w:pPr>
        <w:spacing w:before="100" w:beforeAutospacing="1" w:after="100" w:afterAutospacing="1" w:line="360" w:lineRule="auto"/>
        <w:jc w:val="both"/>
        <w:outlineLvl w:val="2"/>
        <w:rPr>
          <w:rFonts w:ascii="Times New Roman" w:eastAsia="Times New Roman" w:hAnsi="Times New Roman" w:cs="Times New Roman"/>
          <w:b/>
          <w:bCs/>
          <w:sz w:val="24"/>
          <w:szCs w:val="24"/>
          <w:lang w:eastAsia="es-PE"/>
        </w:rPr>
      </w:pPr>
      <w:r w:rsidRPr="00E354FE">
        <w:rPr>
          <w:rFonts w:ascii="Times New Roman" w:eastAsia="Times New Roman" w:hAnsi="Times New Roman" w:cs="Times New Roman"/>
          <w:b/>
          <w:bCs/>
          <w:sz w:val="24"/>
          <w:szCs w:val="24"/>
          <w:lang w:eastAsia="es-PE"/>
        </w:rPr>
        <w:t>Inicio y pico de germinación</w:t>
      </w:r>
    </w:p>
    <w:p w14:paraId="17E90419" w14:textId="73C7159E" w:rsidR="00E354FE" w:rsidRPr="00E354FE" w:rsidRDefault="00E354FE" w:rsidP="00E354FE">
      <w:pPr>
        <w:spacing w:before="100" w:beforeAutospacing="1" w:after="100" w:afterAutospacing="1" w:line="360" w:lineRule="auto"/>
        <w:jc w:val="both"/>
        <w:rPr>
          <w:rFonts w:ascii="Times New Roman" w:eastAsia="Times New Roman" w:hAnsi="Times New Roman" w:cs="Times New Roman"/>
          <w:sz w:val="24"/>
          <w:szCs w:val="24"/>
          <w:lang w:eastAsia="es-PE"/>
        </w:rPr>
      </w:pPr>
      <w:r w:rsidRPr="00E354FE">
        <w:rPr>
          <w:rFonts w:ascii="Times New Roman" w:eastAsia="Times New Roman" w:hAnsi="Times New Roman" w:cs="Times New Roman"/>
          <w:sz w:val="24"/>
          <w:szCs w:val="24"/>
          <w:lang w:eastAsia="es-PE"/>
        </w:rPr>
        <w:t xml:space="preserve">La germinación comenzó el día 1 en algunas réplicas y el pico máximo diario ocurrió el día 2 en ambos tratamientos </w:t>
      </w:r>
      <w:r w:rsidRPr="00E354FE">
        <w:rPr>
          <w:rFonts w:ascii="Times New Roman" w:eastAsia="Times New Roman" w:hAnsi="Times New Roman" w:cs="Times New Roman"/>
          <w:i/>
          <w:iCs/>
          <w:sz w:val="24"/>
          <w:szCs w:val="24"/>
          <w:lang w:eastAsia="es-PE"/>
        </w:rPr>
        <w:t>(Figura 1)</w:t>
      </w:r>
      <w:r w:rsidRPr="00E354FE">
        <w:rPr>
          <w:rFonts w:ascii="Times New Roman" w:eastAsia="Times New Roman" w:hAnsi="Times New Roman" w:cs="Times New Roman"/>
          <w:sz w:val="24"/>
          <w:szCs w:val="24"/>
          <w:lang w:eastAsia="es-PE"/>
        </w:rPr>
        <w:t xml:space="preserve">, lo que es consistente con la biología de </w:t>
      </w:r>
      <w:r w:rsidRPr="00E354FE">
        <w:rPr>
          <w:rFonts w:ascii="Times New Roman" w:eastAsia="Times New Roman" w:hAnsi="Times New Roman" w:cs="Times New Roman"/>
          <w:i/>
          <w:iCs/>
          <w:sz w:val="24"/>
          <w:szCs w:val="24"/>
          <w:lang w:eastAsia="es-PE"/>
        </w:rPr>
        <w:t>L. sativa</w:t>
      </w:r>
      <w:r w:rsidRPr="00E354FE">
        <w:rPr>
          <w:rFonts w:ascii="Times New Roman" w:eastAsia="Times New Roman" w:hAnsi="Times New Roman" w:cs="Times New Roman"/>
          <w:sz w:val="24"/>
          <w:szCs w:val="24"/>
          <w:lang w:eastAsia="es-PE"/>
        </w:rPr>
        <w:t xml:space="preserve">, cuyas semillas presentan una germinación rápida (24–72 h) cuando se cultivan en condiciones óptimas de temperatura (15–20 °C) (Nascimento &amp; </w:t>
      </w:r>
      <w:proofErr w:type="spellStart"/>
      <w:r w:rsidRPr="00E354FE">
        <w:rPr>
          <w:rFonts w:ascii="Times New Roman" w:eastAsia="Times New Roman" w:hAnsi="Times New Roman" w:cs="Times New Roman"/>
          <w:sz w:val="24"/>
          <w:szCs w:val="24"/>
          <w:lang w:eastAsia="es-PE"/>
        </w:rPr>
        <w:t>Cantliffe</w:t>
      </w:r>
      <w:proofErr w:type="spellEnd"/>
      <w:r w:rsidRPr="00E354FE">
        <w:rPr>
          <w:rFonts w:ascii="Times New Roman" w:eastAsia="Times New Roman" w:hAnsi="Times New Roman" w:cs="Times New Roman"/>
          <w:sz w:val="24"/>
          <w:szCs w:val="24"/>
          <w:lang w:eastAsia="es-PE"/>
        </w:rPr>
        <w:t xml:space="preserve">, 2002). La curva sigmoide acumulada observada </w:t>
      </w:r>
      <w:r w:rsidRPr="00E354FE">
        <w:rPr>
          <w:rFonts w:ascii="Times New Roman" w:eastAsia="Times New Roman" w:hAnsi="Times New Roman" w:cs="Times New Roman"/>
          <w:i/>
          <w:iCs/>
          <w:sz w:val="24"/>
          <w:szCs w:val="24"/>
          <w:lang w:eastAsia="es-PE"/>
        </w:rPr>
        <w:t xml:space="preserve">(Figura </w:t>
      </w:r>
      <w:r w:rsidR="00E103B1" w:rsidRPr="00E103B1">
        <w:rPr>
          <w:rFonts w:ascii="Times New Roman" w:eastAsia="Times New Roman" w:hAnsi="Times New Roman" w:cs="Times New Roman"/>
          <w:i/>
          <w:iCs/>
          <w:sz w:val="24"/>
          <w:szCs w:val="24"/>
          <w:lang w:eastAsia="es-PE"/>
        </w:rPr>
        <w:t>2</w:t>
      </w:r>
      <w:r w:rsidRPr="00E354FE">
        <w:rPr>
          <w:rFonts w:ascii="Times New Roman" w:eastAsia="Times New Roman" w:hAnsi="Times New Roman" w:cs="Times New Roman"/>
          <w:i/>
          <w:iCs/>
          <w:sz w:val="24"/>
          <w:szCs w:val="24"/>
          <w:lang w:eastAsia="es-PE"/>
        </w:rPr>
        <w:t>)</w:t>
      </w:r>
      <w:r w:rsidRPr="00E354FE">
        <w:rPr>
          <w:rFonts w:ascii="Times New Roman" w:eastAsia="Times New Roman" w:hAnsi="Times New Roman" w:cs="Times New Roman"/>
          <w:sz w:val="24"/>
          <w:szCs w:val="24"/>
          <w:lang w:eastAsia="es-PE"/>
        </w:rPr>
        <w:t xml:space="preserve"> es típica de poblaciones de semillas con variabilidad </w:t>
      </w:r>
      <w:r w:rsidR="00E103B1" w:rsidRPr="00E354FE">
        <w:rPr>
          <w:rFonts w:ascii="Times New Roman" w:eastAsia="Times New Roman" w:hAnsi="Times New Roman" w:cs="Times New Roman"/>
          <w:sz w:val="24"/>
          <w:szCs w:val="24"/>
          <w:lang w:eastAsia="es-PE"/>
        </w:rPr>
        <w:t>intrínseca</w:t>
      </w:r>
      <w:r w:rsidRPr="00E354FE">
        <w:rPr>
          <w:rFonts w:ascii="Times New Roman" w:eastAsia="Times New Roman" w:hAnsi="Times New Roman" w:cs="Times New Roman"/>
          <w:sz w:val="24"/>
          <w:szCs w:val="24"/>
          <w:lang w:eastAsia="es-PE"/>
        </w:rPr>
        <w:t xml:space="preserve"> en el tiempo de germinación y es concordante con modelos de tiempo de germinación basados en umbral hídrico (</w:t>
      </w:r>
      <w:proofErr w:type="spellStart"/>
      <w:r w:rsidRPr="00E354FE">
        <w:rPr>
          <w:rFonts w:ascii="Times New Roman" w:eastAsia="Times New Roman" w:hAnsi="Times New Roman" w:cs="Times New Roman"/>
          <w:i/>
          <w:iCs/>
          <w:sz w:val="24"/>
          <w:szCs w:val="24"/>
          <w:lang w:eastAsia="es-PE"/>
        </w:rPr>
        <w:t>hydrotime</w:t>
      </w:r>
      <w:proofErr w:type="spellEnd"/>
      <w:r w:rsidRPr="00E354FE">
        <w:rPr>
          <w:rFonts w:ascii="Times New Roman" w:eastAsia="Times New Roman" w:hAnsi="Times New Roman" w:cs="Times New Roman"/>
          <w:i/>
          <w:iCs/>
          <w:sz w:val="24"/>
          <w:szCs w:val="24"/>
          <w:lang w:eastAsia="es-PE"/>
        </w:rPr>
        <w:t xml:space="preserve"> </w:t>
      </w:r>
      <w:proofErr w:type="spellStart"/>
      <w:r w:rsidRPr="00E354FE">
        <w:rPr>
          <w:rFonts w:ascii="Times New Roman" w:eastAsia="Times New Roman" w:hAnsi="Times New Roman" w:cs="Times New Roman"/>
          <w:i/>
          <w:iCs/>
          <w:sz w:val="24"/>
          <w:szCs w:val="24"/>
          <w:lang w:eastAsia="es-PE"/>
        </w:rPr>
        <w:t>models</w:t>
      </w:r>
      <w:proofErr w:type="spellEnd"/>
      <w:r w:rsidRPr="00E354FE">
        <w:rPr>
          <w:rFonts w:ascii="Times New Roman" w:eastAsia="Times New Roman" w:hAnsi="Times New Roman" w:cs="Times New Roman"/>
          <w:sz w:val="24"/>
          <w:szCs w:val="24"/>
          <w:lang w:eastAsia="es-PE"/>
        </w:rPr>
        <w:t>) propuestos por Bradford (2002).</w:t>
      </w:r>
    </w:p>
    <w:p w14:paraId="614EE043" w14:textId="77777777" w:rsidR="00E354FE" w:rsidRPr="00E354FE" w:rsidRDefault="00E354FE" w:rsidP="00E354FE">
      <w:pPr>
        <w:spacing w:before="100" w:beforeAutospacing="1" w:after="100" w:afterAutospacing="1" w:line="360" w:lineRule="auto"/>
        <w:jc w:val="both"/>
        <w:rPr>
          <w:rFonts w:ascii="Times New Roman" w:eastAsia="Times New Roman" w:hAnsi="Times New Roman" w:cs="Times New Roman"/>
          <w:sz w:val="24"/>
          <w:szCs w:val="24"/>
          <w:lang w:eastAsia="es-PE"/>
        </w:rPr>
      </w:pPr>
      <w:r w:rsidRPr="00E354FE">
        <w:rPr>
          <w:rFonts w:ascii="Times New Roman" w:eastAsia="Times New Roman" w:hAnsi="Times New Roman" w:cs="Times New Roman"/>
          <w:sz w:val="24"/>
          <w:szCs w:val="24"/>
          <w:lang w:eastAsia="es-PE"/>
        </w:rPr>
        <w:t>El hecho de que el tratamiento sin luz mostró un inicio ligeramente más precoz (días 1–2) podría relacionarse con la ausencia del efecto inhibitorio parcial del fitocromo en forma Pr sobre algunos reguladores de la germinación, como se ha sugerido en estudios de semillas de lechuga almacenadas en oscuridad prolongada (</w:t>
      </w:r>
      <w:proofErr w:type="spellStart"/>
      <w:r w:rsidRPr="00E354FE">
        <w:rPr>
          <w:rFonts w:ascii="Times New Roman" w:eastAsia="Times New Roman" w:hAnsi="Times New Roman" w:cs="Times New Roman"/>
          <w:sz w:val="24"/>
          <w:szCs w:val="24"/>
          <w:lang w:eastAsia="es-PE"/>
        </w:rPr>
        <w:t>Batlla</w:t>
      </w:r>
      <w:proofErr w:type="spellEnd"/>
      <w:r w:rsidRPr="00E354FE">
        <w:rPr>
          <w:rFonts w:ascii="Times New Roman" w:eastAsia="Times New Roman" w:hAnsi="Times New Roman" w:cs="Times New Roman"/>
          <w:sz w:val="24"/>
          <w:szCs w:val="24"/>
          <w:lang w:eastAsia="es-PE"/>
        </w:rPr>
        <w:t xml:space="preserve"> &amp; </w:t>
      </w:r>
      <w:proofErr w:type="spellStart"/>
      <w:r w:rsidRPr="00E354FE">
        <w:rPr>
          <w:rFonts w:ascii="Times New Roman" w:eastAsia="Times New Roman" w:hAnsi="Times New Roman" w:cs="Times New Roman"/>
          <w:sz w:val="24"/>
          <w:szCs w:val="24"/>
          <w:lang w:eastAsia="es-PE"/>
        </w:rPr>
        <w:t>Benech</w:t>
      </w:r>
      <w:proofErr w:type="spellEnd"/>
      <w:r w:rsidRPr="00E354FE">
        <w:rPr>
          <w:rFonts w:ascii="Times New Roman" w:eastAsia="Times New Roman" w:hAnsi="Times New Roman" w:cs="Times New Roman"/>
          <w:sz w:val="24"/>
          <w:szCs w:val="24"/>
          <w:lang w:eastAsia="es-PE"/>
        </w:rPr>
        <w:t>-Arnold, 2014). No obstante, esta diferencia no fue estadísticamente significativa y debe interpretarse con cautela dado el reducido tamaño muestral (n = 6 réplicas por tratamiento).</w:t>
      </w:r>
    </w:p>
    <w:p w14:paraId="29FE587C" w14:textId="77777777" w:rsidR="00E354FE" w:rsidRPr="00E354FE" w:rsidRDefault="00E354FE" w:rsidP="00E354FE">
      <w:pPr>
        <w:spacing w:before="100" w:beforeAutospacing="1" w:after="100" w:afterAutospacing="1" w:line="360" w:lineRule="auto"/>
        <w:jc w:val="both"/>
        <w:outlineLvl w:val="2"/>
        <w:rPr>
          <w:rFonts w:ascii="Times New Roman" w:eastAsia="Times New Roman" w:hAnsi="Times New Roman" w:cs="Times New Roman"/>
          <w:b/>
          <w:bCs/>
          <w:sz w:val="24"/>
          <w:szCs w:val="24"/>
          <w:lang w:eastAsia="es-PE"/>
        </w:rPr>
      </w:pPr>
      <w:r w:rsidRPr="00E354FE">
        <w:rPr>
          <w:rFonts w:ascii="Times New Roman" w:eastAsia="Times New Roman" w:hAnsi="Times New Roman" w:cs="Times New Roman"/>
          <w:b/>
          <w:bCs/>
          <w:sz w:val="24"/>
          <w:szCs w:val="24"/>
          <w:lang w:eastAsia="es-PE"/>
        </w:rPr>
        <w:t>Implicancias prácticas</w:t>
      </w:r>
    </w:p>
    <w:p w14:paraId="07AA235D" w14:textId="72DEBF2E" w:rsidR="00E354FE" w:rsidRPr="00E354FE" w:rsidRDefault="00E354FE" w:rsidP="00E103B1">
      <w:pPr>
        <w:spacing w:before="100" w:beforeAutospacing="1" w:after="100" w:afterAutospacing="1" w:line="360" w:lineRule="auto"/>
        <w:jc w:val="both"/>
        <w:rPr>
          <w:rFonts w:ascii="Times New Roman" w:eastAsia="Times New Roman" w:hAnsi="Times New Roman" w:cs="Times New Roman"/>
          <w:sz w:val="24"/>
          <w:szCs w:val="24"/>
          <w:lang w:eastAsia="es-PE"/>
        </w:rPr>
      </w:pPr>
      <w:r w:rsidRPr="00E354FE">
        <w:rPr>
          <w:rFonts w:ascii="Times New Roman" w:eastAsia="Times New Roman" w:hAnsi="Times New Roman" w:cs="Times New Roman"/>
          <w:sz w:val="24"/>
          <w:szCs w:val="24"/>
          <w:lang w:eastAsia="es-PE"/>
        </w:rPr>
        <w:t xml:space="preserve">Los resultados sugieren que, para las condiciones de este experimento (Chachapoyas, Amazonas, 2026), la siembra de lechuga bajo oscuridad no compromete la capacidad </w:t>
      </w:r>
      <w:r w:rsidRPr="00E354FE">
        <w:rPr>
          <w:rFonts w:ascii="Times New Roman" w:eastAsia="Times New Roman" w:hAnsi="Times New Roman" w:cs="Times New Roman"/>
          <w:sz w:val="24"/>
          <w:szCs w:val="24"/>
          <w:lang w:eastAsia="es-PE"/>
        </w:rPr>
        <w:lastRenderedPageBreak/>
        <w:t>germinativa total de la semilla. Esto tiene relevancia práctica en sistemas de producción donde la siembra se realiza en bandejas cubiertas durante los primeros días, lo que es una práctica común en almácigos (Hernández-Herrera et al., 2014).</w:t>
      </w:r>
    </w:p>
    <w:p w14:paraId="15DB088E" w14:textId="77777777" w:rsidR="00E103B1" w:rsidRDefault="00E103B1" w:rsidP="00E354FE">
      <w:pPr>
        <w:spacing w:before="100" w:beforeAutospacing="1" w:after="100" w:afterAutospacing="1" w:line="360" w:lineRule="auto"/>
        <w:jc w:val="both"/>
        <w:outlineLvl w:val="1"/>
        <w:rPr>
          <w:rFonts w:ascii="Times New Roman" w:eastAsia="Times New Roman" w:hAnsi="Times New Roman" w:cs="Times New Roman"/>
          <w:b/>
          <w:bCs/>
          <w:sz w:val="24"/>
          <w:szCs w:val="24"/>
          <w:lang w:eastAsia="es-PE"/>
        </w:rPr>
      </w:pPr>
    </w:p>
    <w:p w14:paraId="251B6773" w14:textId="43E3D123" w:rsidR="00E354FE" w:rsidRPr="00E354FE" w:rsidRDefault="00E103B1" w:rsidP="00E354FE">
      <w:pPr>
        <w:spacing w:before="100" w:beforeAutospacing="1" w:after="100" w:afterAutospacing="1" w:line="360" w:lineRule="auto"/>
        <w:jc w:val="both"/>
        <w:outlineLvl w:val="1"/>
        <w:rPr>
          <w:rFonts w:ascii="Times New Roman" w:eastAsia="Times New Roman" w:hAnsi="Times New Roman" w:cs="Times New Roman"/>
          <w:b/>
          <w:bCs/>
          <w:sz w:val="24"/>
          <w:szCs w:val="24"/>
          <w:lang w:eastAsia="es-PE"/>
        </w:rPr>
      </w:pPr>
      <w:r w:rsidRPr="00E354FE">
        <w:rPr>
          <w:rFonts w:ascii="Times New Roman" w:eastAsia="Times New Roman" w:hAnsi="Times New Roman" w:cs="Times New Roman"/>
          <w:b/>
          <w:bCs/>
          <w:sz w:val="24"/>
          <w:szCs w:val="24"/>
          <w:lang w:eastAsia="es-PE"/>
        </w:rPr>
        <w:t>REFERENCIAS BIBLIOGRÁFICAS</w:t>
      </w:r>
    </w:p>
    <w:p w14:paraId="275C7741" w14:textId="77777777" w:rsidR="00E354FE" w:rsidRPr="00D06E3B" w:rsidRDefault="00E354FE" w:rsidP="00E103B1">
      <w:pPr>
        <w:spacing w:before="100" w:beforeAutospacing="1" w:after="100" w:afterAutospacing="1" w:line="360" w:lineRule="auto"/>
        <w:ind w:left="709" w:hanging="709"/>
        <w:jc w:val="both"/>
        <w:rPr>
          <w:rFonts w:ascii="Times New Roman" w:eastAsia="Times New Roman" w:hAnsi="Times New Roman" w:cs="Times New Roman"/>
          <w:sz w:val="24"/>
          <w:szCs w:val="24"/>
          <w:lang w:val="en-US" w:eastAsia="es-PE"/>
        </w:rPr>
      </w:pPr>
      <w:proofErr w:type="spellStart"/>
      <w:r w:rsidRPr="00E354FE">
        <w:rPr>
          <w:rFonts w:ascii="Times New Roman" w:eastAsia="Times New Roman" w:hAnsi="Times New Roman" w:cs="Times New Roman"/>
          <w:sz w:val="24"/>
          <w:szCs w:val="24"/>
          <w:lang w:eastAsia="es-PE"/>
        </w:rPr>
        <w:t>Batlla</w:t>
      </w:r>
      <w:proofErr w:type="spellEnd"/>
      <w:r w:rsidRPr="00E354FE">
        <w:rPr>
          <w:rFonts w:ascii="Times New Roman" w:eastAsia="Times New Roman" w:hAnsi="Times New Roman" w:cs="Times New Roman"/>
          <w:sz w:val="24"/>
          <w:szCs w:val="24"/>
          <w:lang w:eastAsia="es-PE"/>
        </w:rPr>
        <w:t xml:space="preserve">, D., &amp; </w:t>
      </w:r>
      <w:proofErr w:type="spellStart"/>
      <w:r w:rsidRPr="00E354FE">
        <w:rPr>
          <w:rFonts w:ascii="Times New Roman" w:eastAsia="Times New Roman" w:hAnsi="Times New Roman" w:cs="Times New Roman"/>
          <w:sz w:val="24"/>
          <w:szCs w:val="24"/>
          <w:lang w:eastAsia="es-PE"/>
        </w:rPr>
        <w:t>Benech</w:t>
      </w:r>
      <w:proofErr w:type="spellEnd"/>
      <w:r w:rsidRPr="00E354FE">
        <w:rPr>
          <w:rFonts w:ascii="Times New Roman" w:eastAsia="Times New Roman" w:hAnsi="Times New Roman" w:cs="Times New Roman"/>
          <w:sz w:val="24"/>
          <w:szCs w:val="24"/>
          <w:lang w:eastAsia="es-PE"/>
        </w:rPr>
        <w:t xml:space="preserve">-Arnold, R. L. (2014). </w:t>
      </w:r>
      <w:r w:rsidRPr="00D06E3B">
        <w:rPr>
          <w:rFonts w:ascii="Times New Roman" w:eastAsia="Times New Roman" w:hAnsi="Times New Roman" w:cs="Times New Roman"/>
          <w:sz w:val="24"/>
          <w:szCs w:val="24"/>
          <w:lang w:val="en-US" w:eastAsia="es-PE"/>
        </w:rPr>
        <w:t xml:space="preserve">Predicting changes in dormancy level in weed seed soil banks: Implications for weed management. </w:t>
      </w:r>
      <w:r w:rsidRPr="00D06E3B">
        <w:rPr>
          <w:rFonts w:ascii="Times New Roman" w:eastAsia="Times New Roman" w:hAnsi="Times New Roman" w:cs="Times New Roman"/>
          <w:i/>
          <w:iCs/>
          <w:sz w:val="24"/>
          <w:szCs w:val="24"/>
          <w:lang w:val="en-US" w:eastAsia="es-PE"/>
        </w:rPr>
        <w:t>Crop Protection</w:t>
      </w:r>
      <w:r w:rsidRPr="00D06E3B">
        <w:rPr>
          <w:rFonts w:ascii="Times New Roman" w:eastAsia="Times New Roman" w:hAnsi="Times New Roman" w:cs="Times New Roman"/>
          <w:sz w:val="24"/>
          <w:szCs w:val="24"/>
          <w:lang w:val="en-US" w:eastAsia="es-PE"/>
        </w:rPr>
        <w:t xml:space="preserve">, 60, 100–109. </w:t>
      </w:r>
      <w:r>
        <w:fldChar w:fldCharType="begin"/>
      </w:r>
      <w:r w:rsidRPr="00D06E3B">
        <w:rPr>
          <w:lang w:val="en-US"/>
        </w:rPr>
        <w:instrText>HYPERLINK "https://doi.org/10.1016/j.cropro.2013.12.012"</w:instrText>
      </w:r>
      <w:r>
        <w:fldChar w:fldCharType="separate"/>
      </w:r>
      <w:r w:rsidRPr="00D06E3B">
        <w:rPr>
          <w:rFonts w:ascii="Times New Roman" w:eastAsia="Times New Roman" w:hAnsi="Times New Roman" w:cs="Times New Roman"/>
          <w:color w:val="0000FF"/>
          <w:sz w:val="24"/>
          <w:szCs w:val="24"/>
          <w:u w:val="single"/>
          <w:lang w:val="en-US" w:eastAsia="es-PE"/>
        </w:rPr>
        <w:t>https://doi.org/10.1016/j.cropro.2013.12.012</w:t>
      </w:r>
      <w:r>
        <w:fldChar w:fldCharType="end"/>
      </w:r>
    </w:p>
    <w:p w14:paraId="2157AF3D" w14:textId="77777777" w:rsidR="00E354FE" w:rsidRPr="00D06E3B" w:rsidRDefault="00E354FE" w:rsidP="00E103B1">
      <w:pPr>
        <w:spacing w:before="100" w:beforeAutospacing="1" w:after="100" w:afterAutospacing="1" w:line="360" w:lineRule="auto"/>
        <w:ind w:left="709" w:hanging="709"/>
        <w:jc w:val="both"/>
        <w:rPr>
          <w:rFonts w:ascii="Times New Roman" w:eastAsia="Times New Roman" w:hAnsi="Times New Roman" w:cs="Times New Roman"/>
          <w:sz w:val="24"/>
          <w:szCs w:val="24"/>
          <w:lang w:val="en-US" w:eastAsia="es-PE"/>
        </w:rPr>
      </w:pPr>
      <w:r w:rsidRPr="00D06E3B">
        <w:rPr>
          <w:rFonts w:ascii="Times New Roman" w:eastAsia="Times New Roman" w:hAnsi="Times New Roman" w:cs="Times New Roman"/>
          <w:sz w:val="24"/>
          <w:szCs w:val="24"/>
          <w:lang w:val="en-US" w:eastAsia="es-PE"/>
        </w:rPr>
        <w:t xml:space="preserve">Bewley, J. D., Bradford, K. J., Hilhorst, H. W. M., &amp; Nonogaki, H. (2013). </w:t>
      </w:r>
      <w:r w:rsidRPr="00D06E3B">
        <w:rPr>
          <w:rFonts w:ascii="Times New Roman" w:eastAsia="Times New Roman" w:hAnsi="Times New Roman" w:cs="Times New Roman"/>
          <w:i/>
          <w:iCs/>
          <w:sz w:val="24"/>
          <w:szCs w:val="24"/>
          <w:lang w:val="en-US" w:eastAsia="es-PE"/>
        </w:rPr>
        <w:t>Seeds: Physiology of development, germination and dormancy</w:t>
      </w:r>
      <w:r w:rsidRPr="00D06E3B">
        <w:rPr>
          <w:rFonts w:ascii="Times New Roman" w:eastAsia="Times New Roman" w:hAnsi="Times New Roman" w:cs="Times New Roman"/>
          <w:sz w:val="24"/>
          <w:szCs w:val="24"/>
          <w:lang w:val="en-US" w:eastAsia="es-PE"/>
        </w:rPr>
        <w:t xml:space="preserve"> (3rd ed.). Springer.</w:t>
      </w:r>
    </w:p>
    <w:p w14:paraId="3BEA7A99" w14:textId="77777777" w:rsidR="00E354FE" w:rsidRPr="00D06E3B" w:rsidRDefault="00E354FE" w:rsidP="00E103B1">
      <w:pPr>
        <w:spacing w:before="100" w:beforeAutospacing="1" w:after="100" w:afterAutospacing="1" w:line="360" w:lineRule="auto"/>
        <w:ind w:left="709" w:hanging="709"/>
        <w:jc w:val="both"/>
        <w:rPr>
          <w:rFonts w:ascii="Times New Roman" w:eastAsia="Times New Roman" w:hAnsi="Times New Roman" w:cs="Times New Roman"/>
          <w:sz w:val="24"/>
          <w:szCs w:val="24"/>
          <w:lang w:val="en-US" w:eastAsia="es-PE"/>
        </w:rPr>
      </w:pPr>
      <w:r w:rsidRPr="00D06E3B">
        <w:rPr>
          <w:rFonts w:ascii="Times New Roman" w:eastAsia="Times New Roman" w:hAnsi="Times New Roman" w:cs="Times New Roman"/>
          <w:sz w:val="24"/>
          <w:szCs w:val="24"/>
          <w:lang w:val="en-US" w:eastAsia="es-PE"/>
        </w:rPr>
        <w:t xml:space="preserve">Borthwick, H. A., Hendricks, S. B., Parker, M. W., Toole, E. H., &amp; Toole, V. K. (1952). A reversible photoreaction controlling seed germination. </w:t>
      </w:r>
      <w:r w:rsidRPr="00D06E3B">
        <w:rPr>
          <w:rFonts w:ascii="Times New Roman" w:eastAsia="Times New Roman" w:hAnsi="Times New Roman" w:cs="Times New Roman"/>
          <w:i/>
          <w:iCs/>
          <w:sz w:val="24"/>
          <w:szCs w:val="24"/>
          <w:lang w:val="en-US" w:eastAsia="es-PE"/>
        </w:rPr>
        <w:t>Proceedings of the National Academy of Sciences</w:t>
      </w:r>
      <w:r w:rsidRPr="00D06E3B">
        <w:rPr>
          <w:rFonts w:ascii="Times New Roman" w:eastAsia="Times New Roman" w:hAnsi="Times New Roman" w:cs="Times New Roman"/>
          <w:sz w:val="24"/>
          <w:szCs w:val="24"/>
          <w:lang w:val="en-US" w:eastAsia="es-PE"/>
        </w:rPr>
        <w:t xml:space="preserve">, 38(8), 662–666. </w:t>
      </w:r>
      <w:r>
        <w:fldChar w:fldCharType="begin"/>
      </w:r>
      <w:r w:rsidRPr="00D06E3B">
        <w:rPr>
          <w:lang w:val="en-US"/>
        </w:rPr>
        <w:instrText>HYPERLINK "https://doi.org/10.1073/pnas.38.8.662"</w:instrText>
      </w:r>
      <w:r>
        <w:fldChar w:fldCharType="separate"/>
      </w:r>
      <w:r w:rsidRPr="00D06E3B">
        <w:rPr>
          <w:rFonts w:ascii="Times New Roman" w:eastAsia="Times New Roman" w:hAnsi="Times New Roman" w:cs="Times New Roman"/>
          <w:color w:val="0000FF"/>
          <w:sz w:val="24"/>
          <w:szCs w:val="24"/>
          <w:u w:val="single"/>
          <w:lang w:val="en-US" w:eastAsia="es-PE"/>
        </w:rPr>
        <w:t>https://doi.org/10.1073/pnas.38.8.662</w:t>
      </w:r>
      <w:r>
        <w:fldChar w:fldCharType="end"/>
      </w:r>
    </w:p>
    <w:p w14:paraId="2D6E0557" w14:textId="77777777" w:rsidR="00E354FE" w:rsidRPr="00D06E3B" w:rsidRDefault="00E354FE" w:rsidP="00E103B1">
      <w:pPr>
        <w:spacing w:before="100" w:beforeAutospacing="1" w:after="100" w:afterAutospacing="1" w:line="360" w:lineRule="auto"/>
        <w:ind w:left="709" w:hanging="709"/>
        <w:jc w:val="both"/>
        <w:rPr>
          <w:rFonts w:ascii="Times New Roman" w:eastAsia="Times New Roman" w:hAnsi="Times New Roman" w:cs="Times New Roman"/>
          <w:sz w:val="24"/>
          <w:szCs w:val="24"/>
          <w:lang w:val="en-US" w:eastAsia="es-PE"/>
        </w:rPr>
      </w:pPr>
      <w:r w:rsidRPr="00D06E3B">
        <w:rPr>
          <w:rFonts w:ascii="Times New Roman" w:eastAsia="Times New Roman" w:hAnsi="Times New Roman" w:cs="Times New Roman"/>
          <w:sz w:val="24"/>
          <w:szCs w:val="24"/>
          <w:lang w:val="en-US" w:eastAsia="es-PE"/>
        </w:rPr>
        <w:t xml:space="preserve">Bradford, K. J. (2002). Applications of hydrothermal time to quantifying and modeling seed germination and dormancy. </w:t>
      </w:r>
      <w:r w:rsidRPr="00D06E3B">
        <w:rPr>
          <w:rFonts w:ascii="Times New Roman" w:eastAsia="Times New Roman" w:hAnsi="Times New Roman" w:cs="Times New Roman"/>
          <w:i/>
          <w:iCs/>
          <w:sz w:val="24"/>
          <w:szCs w:val="24"/>
          <w:lang w:val="en-US" w:eastAsia="es-PE"/>
        </w:rPr>
        <w:t>Weed Science</w:t>
      </w:r>
      <w:r w:rsidRPr="00D06E3B">
        <w:rPr>
          <w:rFonts w:ascii="Times New Roman" w:eastAsia="Times New Roman" w:hAnsi="Times New Roman" w:cs="Times New Roman"/>
          <w:sz w:val="24"/>
          <w:szCs w:val="24"/>
          <w:lang w:val="en-US" w:eastAsia="es-PE"/>
        </w:rPr>
        <w:t xml:space="preserve">, 50(2), 248–260. </w:t>
      </w:r>
      <w:r>
        <w:fldChar w:fldCharType="begin"/>
      </w:r>
      <w:r w:rsidRPr="00D06E3B">
        <w:rPr>
          <w:lang w:val="en-US"/>
        </w:rPr>
        <w:instrText>HYPERLINK "https://doi.org/10.1614/0043-1745(2002)050%5B0248:AOHTTQ%5D2.0.CO;2"</w:instrText>
      </w:r>
      <w:r>
        <w:fldChar w:fldCharType="separate"/>
      </w:r>
      <w:r w:rsidRPr="00D06E3B">
        <w:rPr>
          <w:rFonts w:ascii="Times New Roman" w:eastAsia="Times New Roman" w:hAnsi="Times New Roman" w:cs="Times New Roman"/>
          <w:color w:val="0000FF"/>
          <w:sz w:val="24"/>
          <w:szCs w:val="24"/>
          <w:u w:val="single"/>
          <w:lang w:val="en-US" w:eastAsia="es-PE"/>
        </w:rPr>
        <w:t>https://doi.org/10.1614/0043-1745(2002)050[0248:AOHTTQ]2.0.CO;2</w:t>
      </w:r>
      <w:r>
        <w:fldChar w:fldCharType="end"/>
      </w:r>
    </w:p>
    <w:p w14:paraId="70CFB890" w14:textId="77777777" w:rsidR="00E354FE" w:rsidRPr="00E354FE" w:rsidRDefault="00E354FE" w:rsidP="00E103B1">
      <w:pPr>
        <w:spacing w:before="100" w:beforeAutospacing="1" w:after="100" w:afterAutospacing="1" w:line="360" w:lineRule="auto"/>
        <w:ind w:left="709" w:hanging="709"/>
        <w:jc w:val="both"/>
        <w:rPr>
          <w:rFonts w:ascii="Times New Roman" w:eastAsia="Times New Roman" w:hAnsi="Times New Roman" w:cs="Times New Roman"/>
          <w:sz w:val="24"/>
          <w:szCs w:val="24"/>
          <w:lang w:eastAsia="es-PE"/>
        </w:rPr>
      </w:pPr>
      <w:r w:rsidRPr="00D06E3B">
        <w:rPr>
          <w:rFonts w:ascii="Times New Roman" w:eastAsia="Times New Roman" w:hAnsi="Times New Roman" w:cs="Times New Roman"/>
          <w:sz w:val="24"/>
          <w:szCs w:val="24"/>
          <w:lang w:val="en-US" w:eastAsia="es-PE"/>
        </w:rPr>
        <w:t xml:space="preserve">Finch-Savage, W. E., &amp; Leubner-Metzger, G. (2006). Seed dormancy and the control of germination. </w:t>
      </w:r>
      <w:r w:rsidRPr="00E354FE">
        <w:rPr>
          <w:rFonts w:ascii="Times New Roman" w:eastAsia="Times New Roman" w:hAnsi="Times New Roman" w:cs="Times New Roman"/>
          <w:i/>
          <w:iCs/>
          <w:sz w:val="24"/>
          <w:szCs w:val="24"/>
          <w:lang w:eastAsia="es-PE"/>
        </w:rPr>
        <w:t xml:space="preserve">New </w:t>
      </w:r>
      <w:proofErr w:type="spellStart"/>
      <w:r w:rsidRPr="00E354FE">
        <w:rPr>
          <w:rFonts w:ascii="Times New Roman" w:eastAsia="Times New Roman" w:hAnsi="Times New Roman" w:cs="Times New Roman"/>
          <w:i/>
          <w:iCs/>
          <w:sz w:val="24"/>
          <w:szCs w:val="24"/>
          <w:lang w:eastAsia="es-PE"/>
        </w:rPr>
        <w:t>Phytologist</w:t>
      </w:r>
      <w:proofErr w:type="spellEnd"/>
      <w:r w:rsidRPr="00E354FE">
        <w:rPr>
          <w:rFonts w:ascii="Times New Roman" w:eastAsia="Times New Roman" w:hAnsi="Times New Roman" w:cs="Times New Roman"/>
          <w:sz w:val="24"/>
          <w:szCs w:val="24"/>
          <w:lang w:eastAsia="es-PE"/>
        </w:rPr>
        <w:t xml:space="preserve">, 171(3), 501–523. </w:t>
      </w:r>
      <w:hyperlink r:id="rId9" w:history="1">
        <w:r w:rsidRPr="00E354FE">
          <w:rPr>
            <w:rFonts w:ascii="Times New Roman" w:eastAsia="Times New Roman" w:hAnsi="Times New Roman" w:cs="Times New Roman"/>
            <w:color w:val="0000FF"/>
            <w:sz w:val="24"/>
            <w:szCs w:val="24"/>
            <w:u w:val="single"/>
            <w:lang w:eastAsia="es-PE"/>
          </w:rPr>
          <w:t>https://doi.org/10.1111/j.1469-8137.2006.01787.x</w:t>
        </w:r>
      </w:hyperlink>
    </w:p>
    <w:p w14:paraId="6BE863F8" w14:textId="77777777" w:rsidR="00E354FE" w:rsidRPr="00D06E3B" w:rsidRDefault="00E354FE" w:rsidP="00E103B1">
      <w:pPr>
        <w:spacing w:before="100" w:beforeAutospacing="1" w:after="100" w:afterAutospacing="1" w:line="360" w:lineRule="auto"/>
        <w:ind w:left="709" w:hanging="709"/>
        <w:jc w:val="both"/>
        <w:rPr>
          <w:rFonts w:ascii="Times New Roman" w:eastAsia="Times New Roman" w:hAnsi="Times New Roman" w:cs="Times New Roman"/>
          <w:sz w:val="24"/>
          <w:szCs w:val="24"/>
          <w:lang w:val="en-US" w:eastAsia="es-PE"/>
        </w:rPr>
      </w:pPr>
      <w:r w:rsidRPr="00E354FE">
        <w:rPr>
          <w:rFonts w:ascii="Times New Roman" w:eastAsia="Times New Roman" w:hAnsi="Times New Roman" w:cs="Times New Roman"/>
          <w:sz w:val="24"/>
          <w:szCs w:val="24"/>
          <w:lang w:eastAsia="es-PE"/>
        </w:rPr>
        <w:t xml:space="preserve">Hernández-Herrera, R. M., Santacruz-Ruvalcaba, F., Ruiz-López, M. A., Norrie, J., &amp; Hernández-Carmona, G. (2014). </w:t>
      </w:r>
      <w:r w:rsidRPr="00D06E3B">
        <w:rPr>
          <w:rFonts w:ascii="Times New Roman" w:eastAsia="Times New Roman" w:hAnsi="Times New Roman" w:cs="Times New Roman"/>
          <w:sz w:val="24"/>
          <w:szCs w:val="24"/>
          <w:lang w:val="en-US" w:eastAsia="es-PE"/>
        </w:rPr>
        <w:t>Effect of liquid seaweed extracts on growth of tomato seedlings (</w:t>
      </w:r>
      <w:r w:rsidRPr="00D06E3B">
        <w:rPr>
          <w:rFonts w:ascii="Times New Roman" w:eastAsia="Times New Roman" w:hAnsi="Times New Roman" w:cs="Times New Roman"/>
          <w:i/>
          <w:iCs/>
          <w:sz w:val="24"/>
          <w:szCs w:val="24"/>
          <w:lang w:val="en-US" w:eastAsia="es-PE"/>
        </w:rPr>
        <w:t>Solanum lycopersicum</w:t>
      </w:r>
      <w:r w:rsidRPr="00D06E3B">
        <w:rPr>
          <w:rFonts w:ascii="Times New Roman" w:eastAsia="Times New Roman" w:hAnsi="Times New Roman" w:cs="Times New Roman"/>
          <w:sz w:val="24"/>
          <w:szCs w:val="24"/>
          <w:lang w:val="en-US" w:eastAsia="es-PE"/>
        </w:rPr>
        <w:t xml:space="preserve"> L.). </w:t>
      </w:r>
      <w:r w:rsidRPr="00D06E3B">
        <w:rPr>
          <w:rFonts w:ascii="Times New Roman" w:eastAsia="Times New Roman" w:hAnsi="Times New Roman" w:cs="Times New Roman"/>
          <w:i/>
          <w:iCs/>
          <w:sz w:val="24"/>
          <w:szCs w:val="24"/>
          <w:lang w:val="en-US" w:eastAsia="es-PE"/>
        </w:rPr>
        <w:t>Journal of Applied Phycology</w:t>
      </w:r>
      <w:r w:rsidRPr="00D06E3B">
        <w:rPr>
          <w:rFonts w:ascii="Times New Roman" w:eastAsia="Times New Roman" w:hAnsi="Times New Roman" w:cs="Times New Roman"/>
          <w:sz w:val="24"/>
          <w:szCs w:val="24"/>
          <w:lang w:val="en-US" w:eastAsia="es-PE"/>
        </w:rPr>
        <w:t>, 26(1), 619–628.</w:t>
      </w:r>
    </w:p>
    <w:p w14:paraId="4D502471" w14:textId="77777777" w:rsidR="00E354FE" w:rsidRPr="00D06E3B" w:rsidRDefault="00E354FE" w:rsidP="00E103B1">
      <w:pPr>
        <w:spacing w:before="100" w:beforeAutospacing="1" w:after="100" w:afterAutospacing="1" w:line="360" w:lineRule="auto"/>
        <w:ind w:left="709" w:hanging="709"/>
        <w:jc w:val="both"/>
        <w:rPr>
          <w:rFonts w:ascii="Times New Roman" w:eastAsia="Times New Roman" w:hAnsi="Times New Roman" w:cs="Times New Roman"/>
          <w:sz w:val="24"/>
          <w:szCs w:val="24"/>
          <w:lang w:val="en-US" w:eastAsia="es-PE"/>
        </w:rPr>
      </w:pPr>
      <w:r w:rsidRPr="00D06E3B">
        <w:rPr>
          <w:rFonts w:ascii="Times New Roman" w:eastAsia="Times New Roman" w:hAnsi="Times New Roman" w:cs="Times New Roman"/>
          <w:sz w:val="24"/>
          <w:szCs w:val="24"/>
          <w:lang w:val="en-US" w:eastAsia="es-PE"/>
        </w:rPr>
        <w:t xml:space="preserve">Nascimento, W. M., &amp; Cantliffe, D. J. (2002). </w:t>
      </w:r>
      <w:proofErr w:type="spellStart"/>
      <w:r w:rsidRPr="00E354FE">
        <w:rPr>
          <w:rFonts w:ascii="Times New Roman" w:eastAsia="Times New Roman" w:hAnsi="Times New Roman" w:cs="Times New Roman"/>
          <w:sz w:val="24"/>
          <w:szCs w:val="24"/>
          <w:lang w:eastAsia="es-PE"/>
        </w:rPr>
        <w:t>Germinação</w:t>
      </w:r>
      <w:proofErr w:type="spellEnd"/>
      <w:r w:rsidRPr="00E354FE">
        <w:rPr>
          <w:rFonts w:ascii="Times New Roman" w:eastAsia="Times New Roman" w:hAnsi="Times New Roman" w:cs="Times New Roman"/>
          <w:sz w:val="24"/>
          <w:szCs w:val="24"/>
          <w:lang w:eastAsia="es-PE"/>
        </w:rPr>
        <w:t xml:space="preserve"> de </w:t>
      </w:r>
      <w:proofErr w:type="spellStart"/>
      <w:r w:rsidRPr="00E354FE">
        <w:rPr>
          <w:rFonts w:ascii="Times New Roman" w:eastAsia="Times New Roman" w:hAnsi="Times New Roman" w:cs="Times New Roman"/>
          <w:sz w:val="24"/>
          <w:szCs w:val="24"/>
          <w:lang w:eastAsia="es-PE"/>
        </w:rPr>
        <w:t>sementes</w:t>
      </w:r>
      <w:proofErr w:type="spellEnd"/>
      <w:r w:rsidRPr="00E354FE">
        <w:rPr>
          <w:rFonts w:ascii="Times New Roman" w:eastAsia="Times New Roman" w:hAnsi="Times New Roman" w:cs="Times New Roman"/>
          <w:sz w:val="24"/>
          <w:szCs w:val="24"/>
          <w:lang w:eastAsia="es-PE"/>
        </w:rPr>
        <w:t xml:space="preserve"> de </w:t>
      </w:r>
      <w:proofErr w:type="spellStart"/>
      <w:r w:rsidRPr="00E354FE">
        <w:rPr>
          <w:rFonts w:ascii="Times New Roman" w:eastAsia="Times New Roman" w:hAnsi="Times New Roman" w:cs="Times New Roman"/>
          <w:sz w:val="24"/>
          <w:szCs w:val="24"/>
          <w:lang w:eastAsia="es-PE"/>
        </w:rPr>
        <w:t>alface</w:t>
      </w:r>
      <w:proofErr w:type="spellEnd"/>
      <w:r w:rsidRPr="00E354FE">
        <w:rPr>
          <w:rFonts w:ascii="Times New Roman" w:eastAsia="Times New Roman" w:hAnsi="Times New Roman" w:cs="Times New Roman"/>
          <w:sz w:val="24"/>
          <w:szCs w:val="24"/>
          <w:lang w:eastAsia="es-PE"/>
        </w:rPr>
        <w:t xml:space="preserve"> </w:t>
      </w:r>
      <w:proofErr w:type="spellStart"/>
      <w:r w:rsidRPr="00E354FE">
        <w:rPr>
          <w:rFonts w:ascii="Times New Roman" w:eastAsia="Times New Roman" w:hAnsi="Times New Roman" w:cs="Times New Roman"/>
          <w:sz w:val="24"/>
          <w:szCs w:val="24"/>
          <w:lang w:eastAsia="es-PE"/>
        </w:rPr>
        <w:t>sob</w:t>
      </w:r>
      <w:proofErr w:type="spellEnd"/>
      <w:r w:rsidRPr="00E354FE">
        <w:rPr>
          <w:rFonts w:ascii="Times New Roman" w:eastAsia="Times New Roman" w:hAnsi="Times New Roman" w:cs="Times New Roman"/>
          <w:sz w:val="24"/>
          <w:szCs w:val="24"/>
          <w:lang w:eastAsia="es-PE"/>
        </w:rPr>
        <w:t xml:space="preserve"> altas temperaturas. </w:t>
      </w:r>
      <w:r w:rsidRPr="00D06E3B">
        <w:rPr>
          <w:rFonts w:ascii="Times New Roman" w:eastAsia="Times New Roman" w:hAnsi="Times New Roman" w:cs="Times New Roman"/>
          <w:i/>
          <w:iCs/>
          <w:sz w:val="24"/>
          <w:szCs w:val="24"/>
          <w:lang w:val="en-US" w:eastAsia="es-PE"/>
        </w:rPr>
        <w:t>Pesquisa Agropecuária Brasileira</w:t>
      </w:r>
      <w:r w:rsidRPr="00D06E3B">
        <w:rPr>
          <w:rFonts w:ascii="Times New Roman" w:eastAsia="Times New Roman" w:hAnsi="Times New Roman" w:cs="Times New Roman"/>
          <w:sz w:val="24"/>
          <w:szCs w:val="24"/>
          <w:lang w:val="en-US" w:eastAsia="es-PE"/>
        </w:rPr>
        <w:t>, 37(12), 1747–1751.</w:t>
      </w:r>
    </w:p>
    <w:p w14:paraId="1692ECED" w14:textId="77777777" w:rsidR="00E354FE" w:rsidRPr="00D06E3B" w:rsidRDefault="00E354FE" w:rsidP="00E103B1">
      <w:pPr>
        <w:spacing w:before="100" w:beforeAutospacing="1" w:after="100" w:afterAutospacing="1" w:line="360" w:lineRule="auto"/>
        <w:ind w:left="709" w:hanging="709"/>
        <w:jc w:val="both"/>
        <w:rPr>
          <w:rFonts w:ascii="Times New Roman" w:eastAsia="Times New Roman" w:hAnsi="Times New Roman" w:cs="Times New Roman"/>
          <w:sz w:val="24"/>
          <w:szCs w:val="24"/>
          <w:lang w:val="en-US" w:eastAsia="es-PE"/>
        </w:rPr>
      </w:pPr>
      <w:r w:rsidRPr="00D06E3B">
        <w:rPr>
          <w:rFonts w:ascii="Times New Roman" w:eastAsia="Times New Roman" w:hAnsi="Times New Roman" w:cs="Times New Roman"/>
          <w:sz w:val="24"/>
          <w:szCs w:val="24"/>
          <w:lang w:val="en-US" w:eastAsia="es-PE"/>
        </w:rPr>
        <w:lastRenderedPageBreak/>
        <w:t xml:space="preserve">Quail, P. H. (2002). Phytochrome photosensory signalling networks. </w:t>
      </w:r>
      <w:r w:rsidRPr="00D06E3B">
        <w:rPr>
          <w:rFonts w:ascii="Times New Roman" w:eastAsia="Times New Roman" w:hAnsi="Times New Roman" w:cs="Times New Roman"/>
          <w:i/>
          <w:iCs/>
          <w:sz w:val="24"/>
          <w:szCs w:val="24"/>
          <w:lang w:val="en-US" w:eastAsia="es-PE"/>
        </w:rPr>
        <w:t>Nature Reviews Molecular Cell Biology</w:t>
      </w:r>
      <w:r w:rsidRPr="00D06E3B">
        <w:rPr>
          <w:rFonts w:ascii="Times New Roman" w:eastAsia="Times New Roman" w:hAnsi="Times New Roman" w:cs="Times New Roman"/>
          <w:sz w:val="24"/>
          <w:szCs w:val="24"/>
          <w:lang w:val="en-US" w:eastAsia="es-PE"/>
        </w:rPr>
        <w:t xml:space="preserve">, 3(2), 85–93. </w:t>
      </w:r>
      <w:r>
        <w:fldChar w:fldCharType="begin"/>
      </w:r>
      <w:r w:rsidRPr="00D06E3B">
        <w:rPr>
          <w:lang w:val="en-US"/>
        </w:rPr>
        <w:instrText>HYPERLINK "https://doi.org/10.1038/nrm728"</w:instrText>
      </w:r>
      <w:r>
        <w:fldChar w:fldCharType="separate"/>
      </w:r>
      <w:r w:rsidRPr="00D06E3B">
        <w:rPr>
          <w:rFonts w:ascii="Times New Roman" w:eastAsia="Times New Roman" w:hAnsi="Times New Roman" w:cs="Times New Roman"/>
          <w:color w:val="0000FF"/>
          <w:sz w:val="24"/>
          <w:szCs w:val="24"/>
          <w:u w:val="single"/>
          <w:lang w:val="en-US" w:eastAsia="es-PE"/>
        </w:rPr>
        <w:t>https://doi.org/10.1038/nrm728</w:t>
      </w:r>
      <w:r>
        <w:fldChar w:fldCharType="end"/>
      </w:r>
    </w:p>
    <w:p w14:paraId="0B89ADB2" w14:textId="14B08AFD" w:rsidR="00A24EE6" w:rsidRPr="00E103B1" w:rsidRDefault="00E354FE" w:rsidP="00E103B1">
      <w:pPr>
        <w:spacing w:before="100" w:beforeAutospacing="1" w:after="100" w:afterAutospacing="1" w:line="360" w:lineRule="auto"/>
        <w:ind w:left="709" w:hanging="709"/>
        <w:jc w:val="both"/>
        <w:rPr>
          <w:rFonts w:ascii="Times New Roman" w:eastAsia="Times New Roman" w:hAnsi="Times New Roman" w:cs="Times New Roman"/>
          <w:sz w:val="24"/>
          <w:szCs w:val="24"/>
          <w:lang w:eastAsia="es-PE"/>
        </w:rPr>
      </w:pPr>
      <w:r w:rsidRPr="00D06E3B">
        <w:rPr>
          <w:rFonts w:ascii="Times New Roman" w:eastAsia="Times New Roman" w:hAnsi="Times New Roman" w:cs="Times New Roman"/>
          <w:sz w:val="24"/>
          <w:szCs w:val="24"/>
          <w:lang w:val="en-US" w:eastAsia="es-PE"/>
        </w:rPr>
        <w:t xml:space="preserve">Yanniccari, M., Tambussi, E., Istilart, C., &amp; Castro, A. M. (2012). Glyphosate effects on gas exchange and growth of two </w:t>
      </w:r>
      <w:r w:rsidRPr="00D06E3B">
        <w:rPr>
          <w:rFonts w:ascii="Times New Roman" w:eastAsia="Times New Roman" w:hAnsi="Times New Roman" w:cs="Times New Roman"/>
          <w:i/>
          <w:iCs/>
          <w:sz w:val="24"/>
          <w:szCs w:val="24"/>
          <w:lang w:val="en-US" w:eastAsia="es-PE"/>
        </w:rPr>
        <w:t>Lolium perenne</w:t>
      </w:r>
      <w:r w:rsidRPr="00D06E3B">
        <w:rPr>
          <w:rFonts w:ascii="Times New Roman" w:eastAsia="Times New Roman" w:hAnsi="Times New Roman" w:cs="Times New Roman"/>
          <w:sz w:val="24"/>
          <w:szCs w:val="24"/>
          <w:lang w:val="en-US" w:eastAsia="es-PE"/>
        </w:rPr>
        <w:t xml:space="preserve"> L. biotypes with differential herbicide sensitivity. </w:t>
      </w:r>
      <w:r w:rsidRPr="00E354FE">
        <w:rPr>
          <w:rFonts w:ascii="Times New Roman" w:eastAsia="Times New Roman" w:hAnsi="Times New Roman" w:cs="Times New Roman"/>
          <w:i/>
          <w:iCs/>
          <w:sz w:val="24"/>
          <w:szCs w:val="24"/>
          <w:lang w:eastAsia="es-PE"/>
        </w:rPr>
        <w:t xml:space="preserve">Plant </w:t>
      </w:r>
      <w:proofErr w:type="spellStart"/>
      <w:r w:rsidRPr="00E354FE">
        <w:rPr>
          <w:rFonts w:ascii="Times New Roman" w:eastAsia="Times New Roman" w:hAnsi="Times New Roman" w:cs="Times New Roman"/>
          <w:i/>
          <w:iCs/>
          <w:sz w:val="24"/>
          <w:szCs w:val="24"/>
          <w:lang w:eastAsia="es-PE"/>
        </w:rPr>
        <w:t>Physiology</w:t>
      </w:r>
      <w:proofErr w:type="spellEnd"/>
      <w:r w:rsidRPr="00E354FE">
        <w:rPr>
          <w:rFonts w:ascii="Times New Roman" w:eastAsia="Times New Roman" w:hAnsi="Times New Roman" w:cs="Times New Roman"/>
          <w:i/>
          <w:iCs/>
          <w:sz w:val="24"/>
          <w:szCs w:val="24"/>
          <w:lang w:eastAsia="es-PE"/>
        </w:rPr>
        <w:t xml:space="preserve"> and </w:t>
      </w:r>
      <w:proofErr w:type="spellStart"/>
      <w:r w:rsidRPr="00E354FE">
        <w:rPr>
          <w:rFonts w:ascii="Times New Roman" w:eastAsia="Times New Roman" w:hAnsi="Times New Roman" w:cs="Times New Roman"/>
          <w:i/>
          <w:iCs/>
          <w:sz w:val="24"/>
          <w:szCs w:val="24"/>
          <w:lang w:eastAsia="es-PE"/>
        </w:rPr>
        <w:t>Biochemistry</w:t>
      </w:r>
      <w:proofErr w:type="spellEnd"/>
      <w:r w:rsidRPr="00E354FE">
        <w:rPr>
          <w:rFonts w:ascii="Times New Roman" w:eastAsia="Times New Roman" w:hAnsi="Times New Roman" w:cs="Times New Roman"/>
          <w:sz w:val="24"/>
          <w:szCs w:val="24"/>
          <w:lang w:eastAsia="es-PE"/>
        </w:rPr>
        <w:t>, 57, 8–17.</w:t>
      </w:r>
    </w:p>
    <w:sectPr w:rsidR="00A24EE6" w:rsidRPr="00E103B1">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33D5D4E"/>
    <w:multiLevelType w:val="multilevel"/>
    <w:tmpl w:val="A3743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44621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54FE"/>
    <w:rsid w:val="00A24EE6"/>
    <w:rsid w:val="00C16940"/>
    <w:rsid w:val="00D06E3B"/>
    <w:rsid w:val="00E103B1"/>
    <w:rsid w:val="00E354FE"/>
    <w:rsid w:val="00EF1700"/>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5D4A21"/>
  <w15:chartTrackingRefBased/>
  <w15:docId w15:val="{23633FCD-4120-48E1-85C0-62AFAED281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E354FE"/>
    <w:pPr>
      <w:spacing w:before="100" w:beforeAutospacing="1" w:after="100" w:afterAutospacing="1" w:line="240" w:lineRule="auto"/>
      <w:outlineLvl w:val="1"/>
    </w:pPr>
    <w:rPr>
      <w:rFonts w:ascii="Times New Roman" w:eastAsia="Times New Roman" w:hAnsi="Times New Roman" w:cs="Times New Roman"/>
      <w:b/>
      <w:bCs/>
      <w:sz w:val="36"/>
      <w:szCs w:val="36"/>
      <w:lang w:eastAsia="es-PE"/>
    </w:rPr>
  </w:style>
  <w:style w:type="paragraph" w:styleId="Heading3">
    <w:name w:val="heading 3"/>
    <w:basedOn w:val="Normal"/>
    <w:link w:val="Heading3Char"/>
    <w:uiPriority w:val="9"/>
    <w:qFormat/>
    <w:rsid w:val="00E354FE"/>
    <w:pPr>
      <w:spacing w:before="100" w:beforeAutospacing="1" w:after="100" w:afterAutospacing="1" w:line="240" w:lineRule="auto"/>
      <w:outlineLvl w:val="2"/>
    </w:pPr>
    <w:rPr>
      <w:rFonts w:ascii="Times New Roman" w:eastAsia="Times New Roman" w:hAnsi="Times New Roman" w:cs="Times New Roman"/>
      <w:b/>
      <w:bCs/>
      <w:sz w:val="27"/>
      <w:szCs w:val="27"/>
      <w:lang w:eastAsia="es-P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354FE"/>
    <w:rPr>
      <w:rFonts w:ascii="Times New Roman" w:eastAsia="Times New Roman" w:hAnsi="Times New Roman" w:cs="Times New Roman"/>
      <w:b/>
      <w:bCs/>
      <w:sz w:val="36"/>
      <w:szCs w:val="36"/>
      <w:lang w:eastAsia="es-PE"/>
    </w:rPr>
  </w:style>
  <w:style w:type="character" w:customStyle="1" w:styleId="Heading3Char">
    <w:name w:val="Heading 3 Char"/>
    <w:basedOn w:val="DefaultParagraphFont"/>
    <w:link w:val="Heading3"/>
    <w:uiPriority w:val="9"/>
    <w:rsid w:val="00E354FE"/>
    <w:rPr>
      <w:rFonts w:ascii="Times New Roman" w:eastAsia="Times New Roman" w:hAnsi="Times New Roman" w:cs="Times New Roman"/>
      <w:b/>
      <w:bCs/>
      <w:sz w:val="27"/>
      <w:szCs w:val="27"/>
      <w:lang w:eastAsia="es-PE"/>
    </w:rPr>
  </w:style>
  <w:style w:type="paragraph" w:customStyle="1" w:styleId="font-claude-response-body">
    <w:name w:val="font-claude-response-body"/>
    <w:basedOn w:val="Normal"/>
    <w:rsid w:val="00E354FE"/>
    <w:pPr>
      <w:spacing w:before="100" w:beforeAutospacing="1" w:after="100" w:afterAutospacing="1" w:line="240" w:lineRule="auto"/>
    </w:pPr>
    <w:rPr>
      <w:rFonts w:ascii="Times New Roman" w:eastAsia="Times New Roman" w:hAnsi="Times New Roman" w:cs="Times New Roman"/>
      <w:sz w:val="24"/>
      <w:szCs w:val="24"/>
      <w:lang w:eastAsia="es-PE"/>
    </w:rPr>
  </w:style>
  <w:style w:type="character" w:styleId="Emphasis">
    <w:name w:val="Emphasis"/>
    <w:basedOn w:val="DefaultParagraphFont"/>
    <w:uiPriority w:val="20"/>
    <w:qFormat/>
    <w:rsid w:val="00E354FE"/>
    <w:rPr>
      <w:i/>
      <w:iCs/>
    </w:rPr>
  </w:style>
  <w:style w:type="character" w:styleId="Strong">
    <w:name w:val="Strong"/>
    <w:basedOn w:val="DefaultParagraphFont"/>
    <w:uiPriority w:val="22"/>
    <w:qFormat/>
    <w:rsid w:val="00E354FE"/>
    <w:rPr>
      <w:b/>
      <w:bCs/>
    </w:rPr>
  </w:style>
  <w:style w:type="paragraph" w:customStyle="1" w:styleId="whitespace-normal">
    <w:name w:val="whitespace-normal"/>
    <w:basedOn w:val="Normal"/>
    <w:rsid w:val="00E354FE"/>
    <w:pPr>
      <w:spacing w:before="100" w:beforeAutospacing="1" w:after="100" w:afterAutospacing="1" w:line="240" w:lineRule="auto"/>
    </w:pPr>
    <w:rPr>
      <w:rFonts w:ascii="Times New Roman" w:eastAsia="Times New Roman" w:hAnsi="Times New Roman" w:cs="Times New Roman"/>
      <w:sz w:val="24"/>
      <w:szCs w:val="24"/>
      <w:lang w:eastAsia="es-PE"/>
    </w:rPr>
  </w:style>
  <w:style w:type="character" w:styleId="Hyperlink">
    <w:name w:val="Hyperlink"/>
    <w:basedOn w:val="DefaultParagraphFont"/>
    <w:uiPriority w:val="99"/>
    <w:semiHidden/>
    <w:unhideWhenUsed/>
    <w:rsid w:val="00E354F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70957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doi.org/10.1111/j.1469-8137.2006.01787.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6</Pages>
  <Words>1184</Words>
  <Characters>6608</Characters>
  <Application>Microsoft Office Word</Application>
  <DocSecurity>0</DocSecurity>
  <Lines>115</Lines>
  <Paragraphs>40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Edgar Orlando Campos Troyes</cp:lastModifiedBy>
  <cp:revision>3</cp:revision>
  <dcterms:created xsi:type="dcterms:W3CDTF">2026-04-20T00:23:00Z</dcterms:created>
  <dcterms:modified xsi:type="dcterms:W3CDTF">2026-04-20T07:32:00Z</dcterms:modified>
</cp:coreProperties>
</file>