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56db" w:sz="12" w:space="6"/>
        </w:pBdr>
        <w:spacing w:after="400"/>
        <w:jc w:val="center"/>
      </w:pPr>
      <w:r>
        <w:rPr>
          <w:rFonts w:ascii="Arial" w:cs="Arial" w:eastAsia="Arial" w:hAnsi="Arial"/>
          <w:b/>
          <w:bCs/>
          <w:color w:val="1a56db"/>
          <w:sz w:val="180"/>
          <w:szCs w:val="180"/>
        </w:rPr>
        <w:t xml:space="preserve">Remote Sensing · MDPI · Research Article · Submitted July 2026</w:t>
      </w:r>
    </w:p>
    <w:p>
      <w:pPr>
        <w:spacing w:after="120" w:before="0"/>
      </w:pPr>
    </w:p>
    <w:p>
      <w:pPr>
        <w:spacing w:after="280" w:before="360"/>
        <w:jc w:val="center"/>
      </w:pPr>
      <w:r>
        <w:rPr>
          <w:rFonts w:ascii="Arial" w:cs="Arial" w:eastAsia="Arial" w:hAnsi="Arial"/>
          <w:b/>
          <w:bCs/>
          <w:color w:val="111827"/>
          <w:sz w:val="360"/>
          <w:szCs w:val="360"/>
        </w:rPr>
        <w:t xml:space="preserve">PyGeoVision: A Production-Ready Open-Source Platform for Geospatial Artificial Intelligence</w:t>
      </w:r>
    </w:p>
    <w:p>
      <w:pPr>
        <w:spacing w:after="120"/>
        <w:jc w:val="center"/>
      </w:pPr>
      <w:r>
        <w:rPr>
          <w:rFonts w:ascii="Arial" w:cs="Arial" w:eastAsia="Arial" w:hAnsi="Arial"/>
          <w:b/>
          <w:bCs/>
          <w:sz w:val="240"/>
          <w:szCs w:val="240"/>
        </w:rPr>
        <w:t xml:space="preserve">Samuel Appiah Kubi</w:t>
      </w:r>
    </w:p>
    <w:p>
      <w:pPr>
        <w:spacing w:after="80"/>
        <w:jc w:val="center"/>
      </w:pPr>
      <w:r>
        <w:rPr>
          <w:rFonts w:ascii="Times New Roman" w:cs="Times New Roman" w:eastAsia="Times New Roman" w:hAnsi="Times New Roman"/>
          <w:i/>
          <w:iCs/>
          <w:color w:val="4b5563"/>
          <w:sz w:val="200"/>
          <w:szCs w:val="200"/>
        </w:rPr>
        <w:t xml:space="preserve">Department of Remote Sensing and Geospatial Science, University of Ghana, Legon, Accra, Ghana</w:t>
      </w:r>
    </w:p>
    <w:p>
      <w:pPr>
        <w:pBdr>
          <w:bottom w:val="single" w:color="e5e7eb" w:sz="6" w:space="4"/>
        </w:pBdr>
        <w:spacing w:after="360"/>
        <w:jc w:val="center"/>
      </w:pPr>
      <w:r>
        <w:rPr>
          <w:rFonts w:ascii="Times New Roman" w:cs="Times New Roman" w:eastAsia="Times New Roman" w:hAnsi="Times New Roman"/>
          <w:color w:val="4b5563"/>
          <w:sz w:val="200"/>
          <w:szCs w:val="200"/>
        </w:rPr>
        <w:t xml:space="preserve">Correspondence: s.appiah-kubi@ug.edu.gh</w:t>
      </w:r>
    </w:p>
    <w:p>
      <w:pPr>
        <w:spacing w:after="120" w:before="0"/>
      </w:pPr>
    </w:p>
    <w:p>
      <w:pPr>
        <w:spacing w:after="80" w:before="160"/>
      </w:pPr>
      <w:r>
        <w:rPr>
          <w:rFonts w:ascii="Arial" w:cs="Arial" w:eastAsia="Arial" w:hAnsi="Arial"/>
          <w:b/>
          <w:bCs/>
          <w:color w:val="1a56db"/>
          <w:sz w:val="220"/>
          <w:szCs w:val="220"/>
        </w:rPr>
        <w:t xml:space="preserve">Abstract</w:t>
      </w:r>
    </w:p>
    <w:p>
      <w:pPr>
        <w:pBdr>
          <w:left w:val="single" w:color="1a56db" w:sz="16" w:space="8"/>
        </w:pBdr>
        <w:spacing w:after="160"/>
        <w:ind w:left="283" w:right="283"/>
        <w:jc w:val="both"/>
      </w:pPr>
      <w:r>
        <w:rPr>
          <w:rFonts w:ascii="Times New Roman" w:cs="Times New Roman" w:eastAsia="Times New Roman" w:hAnsi="Times New Roman"/>
          <w:sz w:val="220"/>
          <w:szCs w:val="220"/>
        </w:rPr>
        <w:t xml:space="preserve">Earth observation from satellite platforms generates more than 150 TB of imagery daily, yet converting this data into actionable intelligence remains fragmented across disconnected tools. Existing open-source frameworks address individual components in isolation: EODAG provides data access but no AI; TorchGeo integrates PyTorch datasets but omits data acquisition; TerraTorch supports foundation models but not end-to-end pipelines. We present </w:t>
      </w:r>
      <w:r>
        <w:rPr>
          <w:rFonts w:ascii="Times New Roman" w:cs="Times New Roman" w:eastAsia="Times New Roman" w:hAnsi="Times New Roman"/>
          <w:b/>
          <w:bCs/>
          <w:sz w:val="220"/>
          <w:szCs w:val="220"/>
        </w:rPr>
        <w:t xml:space="preserve">PyGeoVision</w:t>
      </w:r>
      <w:r>
        <w:rPr>
          <w:rFonts w:ascii="Times New Roman" w:cs="Times New Roman" w:eastAsia="Times New Roman" w:hAnsi="Times New Roman"/>
          <w:sz w:val="220"/>
          <w:szCs w:val="220"/>
        </w:rPr>
        <w:t xml:space="preserve">, a production-ready, open-source Python platform that unifies the complete Earth observation intelligence stack: (1) satellite data acquisition from 22+ providers via PyGeoFetch; (2) a validated preprocessing pipeline with three embedded production bug-fixes; (3) 119 AI model architectures; (4) native integration of DINOv3 (12 variants) and Prithvi-EO-2.0 (600 M parameters); (5) an autonomous GeoAgent for natural-language queries; (6) a complete InSAR processing chain; and (7) an interactive five-viewer visualization layer. Evaluated on standard benchmarks, PyGeoVision achieves 70.1% top-1 accuracy on fMoW, 73.8% mAP on DIOR, 57.2% mIoU on SEASONET, and 88.4% F1 on LEVIR-CD, representing improvements of 3.5–7.5 percentage points over the nearest open-source competitor. The platform ships with 585 automated tests, a 28-chapter book, 87 Jupyter notebooks, and Kubernetes/Helm deployment templates. PyGeoVision is released under Apache 2.0 at </w:t>
      </w:r>
      <w:r>
        <w:rPr>
          <w:rFonts w:ascii="Times New Roman" w:cs="Times New Roman" w:eastAsia="Times New Roman" w:hAnsi="Times New Roman"/>
          <w:color w:val="1a56db"/>
          <w:sz w:val="220"/>
          <w:szCs w:val="220"/>
        </w:rPr>
        <w:t xml:space="preserve">github.com/appiahkubis14/PyGeoVision</w:t>
      </w:r>
      <w:r>
        <w:rPr>
          <w:rFonts w:ascii="Times New Roman" w:cs="Times New Roman" w:eastAsia="Times New Roman" w:hAnsi="Times New Roman"/>
          <w:sz w:val="220"/>
          <w:szCs w:val="220"/>
        </w:rPr>
        <w:t xml:space="preserve">.</w:t>
      </w:r>
    </w:p>
    <w:p>
      <w:pPr>
        <w:spacing w:after="280" w:before="120"/>
      </w:pPr>
      <w:r>
        <w:rPr>
          <w:rFonts w:ascii="Times New Roman" w:cs="Times New Roman" w:eastAsia="Times New Roman" w:hAnsi="Times New Roman"/>
          <w:b/>
          <w:bCs/>
          <w:sz w:val="220"/>
          <w:szCs w:val="220"/>
        </w:rPr>
        <w:t xml:space="preserve">Keywords: </w:t>
      </w:r>
      <w:r>
        <w:rPr>
          <w:rFonts w:ascii="Times New Roman" w:cs="Times New Roman" w:eastAsia="Times New Roman" w:hAnsi="Times New Roman"/>
          <w:i/>
          <w:iCs/>
          <w:sz w:val="220"/>
          <w:szCs w:val="220"/>
        </w:rPr>
        <w:t xml:space="preserve">geospatial AI; satellite data; deep learning; foundation models; SAR processing; InSAR; natural language agent; Earth observation; Prithvi; DINOv3</w:t>
      </w:r>
    </w:p>
    <w:p>
      <w:pPr>
        <w:pStyle w:val="Heading1"/>
        <w:pBdr>
          <w:bottom w:val="single" w:color="1a56db" w:sz="6" w:space="4"/>
        </w:pBdr>
        <w:spacing w:after="120" w:before="280"/>
      </w:pPr>
      <w:r>
        <w:t xml:space="preserve">1. Introduction</w:t>
      </w:r>
    </w:p>
    <w:p>
      <w:pPr>
        <w:spacing w:after="120" w:before="0" w:line="276"/>
        <w:jc w:val="both"/>
      </w:pPr>
      <w:r>
        <w:rPr>
          <w:rFonts w:ascii="Times New Roman" w:cs="Times New Roman" w:eastAsia="Times New Roman" w:hAnsi="Times New Roman"/>
          <w:sz w:val="220"/>
          <w:szCs w:val="220"/>
        </w:rPr>
        <w:t xml:space="preserve">Earth observation satellites produce unprecedented volumes of surface imagery. The Copernicus programme alone generates more than 20 TB of Sentinel imagery per day </w:t>
      </w:r>
      <w:r>
        <w:rPr>
          <w:rFonts w:ascii="Times New Roman" w:cs="Times New Roman" w:eastAsia="Times New Roman" w:hAnsi="Times New Roman"/>
          <w:sz w:val="220"/>
          <w:szCs w:val="220"/>
          <w:vertAlign w:val="superscript"/>
        </w:rPr>
        <w:t xml:space="preserve">[1]</w:t>
      </w:r>
      <w:r>
        <w:rPr>
          <w:rFonts w:ascii="Times New Roman" w:cs="Times New Roman" w:eastAsia="Times New Roman" w:hAnsi="Times New Roman"/>
          <w:sz w:val="220"/>
          <w:szCs w:val="220"/>
        </w:rPr>
        <w:t xml:space="preserve">, while commercial constellations from Planet, Maxar, and Airbus contribute additional acquisitions at sub-metre resolution. The emergence of deep learning has transformed how this data is analysed: building footprint extraction, flood mapping, and land cover classification that once required weeks of expert processing can now be completed in minutes using pre-trained models.</w:t>
      </w:r>
    </w:p>
    <w:p>
      <w:pPr>
        <w:spacing w:after="120" w:before="0" w:line="276"/>
        <w:jc w:val="both"/>
      </w:pPr>
      <w:r>
        <w:rPr>
          <w:rFonts w:ascii="Times New Roman" w:cs="Times New Roman" w:eastAsia="Times New Roman" w:hAnsi="Times New Roman"/>
          <w:sz w:val="220"/>
          <w:szCs w:val="220"/>
        </w:rPr>
        <w:t xml:space="preserve">Despite this progress, five interconnected challenges explain the persistent fragmentation of the geospatial AI ecosystem:</w:t>
      </w:r>
    </w:p>
    <w:p>
      <w:pPr>
        <w:pStyle w:val="ListParagraph"/>
        <w:numPr>
          <w:ilvl w:val="0"/>
          <w:numId w:val="1"/>
        </w:numPr>
        <w:spacing w:after="60" w:before="0" w:line="240"/>
      </w:pPr>
      <w:r>
        <w:rPr>
          <w:rFonts w:ascii="Times New Roman" w:cs="Times New Roman" w:eastAsia="Times New Roman" w:hAnsi="Times New Roman"/>
          <w:sz w:val="220"/>
          <w:szCs w:val="220"/>
        </w:rPr>
        <w:t xml:space="preserve">Data fragmentation: 22+ providers each expose different STAC endpoints, authentication schemes, and file formats requiring bespoke integration code for every workflow.</w:t>
      </w:r>
    </w:p>
    <w:p>
      <w:pPr>
        <w:pStyle w:val="ListParagraph"/>
        <w:numPr>
          <w:ilvl w:val="0"/>
          <w:numId w:val="1"/>
        </w:numPr>
        <w:spacing w:after="60" w:before="0" w:line="240"/>
      </w:pPr>
      <w:r>
        <w:rPr>
          <w:rFonts w:ascii="Times New Roman" w:cs="Times New Roman" w:eastAsia="Times New Roman" w:hAnsi="Times New Roman"/>
          <w:sz w:val="220"/>
          <w:szCs w:val="220"/>
        </w:rPr>
        <w:t xml:space="preserve">Preprocessing complexity: atmospheric correction, cloud masking, geometric registration, and SAR speckle filtering require specialist knowledge; errors propagate silently through subsequent AI steps.</w:t>
      </w:r>
    </w:p>
    <w:p>
      <w:pPr>
        <w:pStyle w:val="ListParagraph"/>
        <w:numPr>
          <w:ilvl w:val="0"/>
          <w:numId w:val="1"/>
        </w:numPr>
        <w:spacing w:after="60" w:before="0" w:line="240"/>
      </w:pPr>
      <w:r>
        <w:rPr>
          <w:rFonts w:ascii="Times New Roman" w:cs="Times New Roman" w:eastAsia="Times New Roman" w:hAnsi="Times New Roman"/>
          <w:sz w:val="220"/>
          <w:szCs w:val="220"/>
        </w:rPr>
        <w:t xml:space="preserve">Model ecosystem fragmentation: SegFormer [2], ChangeFormer [3], Prithvi [4], and DINOv3 [5] are developed by different research groups with incompatible input conventions and postprocessing requirements.</w:t>
      </w:r>
    </w:p>
    <w:p>
      <w:pPr>
        <w:pStyle w:val="ListParagraph"/>
        <w:numPr>
          <w:ilvl w:val="0"/>
          <w:numId w:val="1"/>
        </w:numPr>
        <w:spacing w:after="60" w:before="0" w:line="240"/>
      </w:pPr>
      <w:r>
        <w:rPr>
          <w:rFonts w:ascii="Times New Roman" w:cs="Times New Roman" w:eastAsia="Times New Roman" w:hAnsi="Times New Roman"/>
          <w:sz w:val="220"/>
          <w:szCs w:val="220"/>
        </w:rPr>
        <w:t xml:space="preserve">Foundation model accessibility: Prithvi-EO-2.0 and DINOv3 achieve state-of-the-art performance but require complex weight download procedures and input normalisation logic that creates a prohibitive entry barrier for domain scientists.</w:t>
      </w:r>
    </w:p>
    <w:p>
      <w:pPr>
        <w:pStyle w:val="ListParagraph"/>
        <w:numPr>
          <w:ilvl w:val="0"/>
          <w:numId w:val="1"/>
        </w:numPr>
        <w:spacing w:after="60" w:before="0" w:line="240"/>
      </w:pPr>
      <w:r>
        <w:rPr>
          <w:rFonts w:ascii="Times New Roman" w:cs="Times New Roman" w:eastAsia="Times New Roman" w:hAnsi="Times New Roman"/>
          <w:sz w:val="220"/>
          <w:szCs w:val="220"/>
        </w:rPr>
        <w:t xml:space="preserve">Production gap: research implementations lack the validation and deployment infrastructure required for operational use. Three specific preprocessing bugs cause systematic silent failures that go undetected in research code but break production pipelines.</w:t>
      </w:r>
    </w:p>
    <w:p>
      <w:pPr>
        <w:spacing w:after="120" w:before="0"/>
      </w:pPr>
    </w:p>
    <w:p>
      <w:pPr>
        <w:spacing w:after="120" w:before="0" w:line="276"/>
        <w:jc w:val="both"/>
      </w:pPr>
      <w:r>
        <w:rPr>
          <w:rFonts w:ascii="Times New Roman" w:cs="Times New Roman" w:eastAsia="Times New Roman" w:hAnsi="Times New Roman"/>
          <w:sz w:val="220"/>
          <w:szCs w:val="220"/>
        </w:rPr>
        <w:t xml:space="preserve">Table 1 summarises the capabilities of the main existing open-source platforms. No existing solution simultaneously addresses data acquisition, preprocessing, AI inference, foundation model integration, natural language interaction, SAR/InSAR processing, visualization, and enterprise features. PyGeoVision is the first platform to do so.</w:t>
      </w:r>
    </w:p>
    <w:p>
      <w:pPr>
        <w:spacing w:after="120" w:before="0"/>
      </w:pPr>
    </w:p>
    <w:p>
      <w:pPr>
        <w:spacing w:after="80" w:before="120"/>
      </w:pPr>
      <w:r>
        <w:rPr>
          <w:rFonts w:ascii="Times New Roman" w:cs="Times New Roman" w:eastAsia="Times New Roman" w:hAnsi="Times New Roman"/>
          <w:i/>
          <w:iCs/>
          <w:sz w:val="190"/>
          <w:szCs w:val="190"/>
        </w:rPr>
        <w:t xml:space="preserve">Table 1. Capability comparison of open-source geospatial AI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gridCol w:w="100"/>
      </w:tblGrid>
      <w:tr>
        <w:trPr>
          <w:tblHeader/>
        </w:trPr>
        <w:tc>
          <w:tcPr>
            <w:tcW w:type="dxa" w:w="2200"/>
            <w:shd w:fill="dbeafe" w:val="clear"/>
          </w:tcPr>
          <w:p>
            <w:pPr>
              <w:spacing w:after="60" w:before="60"/>
            </w:pPr>
            <w:r>
              <w:rPr>
                <w:rFonts w:ascii="Times New Roman" w:cs="Times New Roman" w:eastAsia="Times New Roman" w:hAnsi="Times New Roman"/>
                <w:b/>
                <w:bCs/>
                <w:sz w:val="190"/>
                <w:szCs w:val="190"/>
              </w:rPr>
              <w:t xml:space="preserve">Feature</w:t>
            </w:r>
          </w:p>
        </w:tc>
        <w:tc>
          <w:tcPr>
            <w:tcW w:type="dxa" w:w="1200"/>
            <w:shd w:fill="dbeafe" w:val="clear"/>
          </w:tcPr>
          <w:p>
            <w:pPr>
              <w:spacing w:after="60" w:before="60"/>
            </w:pPr>
            <w:r>
              <w:rPr>
                <w:rFonts w:ascii="Times New Roman" w:cs="Times New Roman" w:eastAsia="Times New Roman" w:hAnsi="Times New Roman"/>
                <w:b/>
                <w:bCs/>
                <w:sz w:val="190"/>
                <w:szCs w:val="190"/>
              </w:rPr>
              <w:t xml:space="preserve">PyGeoVision</w:t>
            </w:r>
          </w:p>
        </w:tc>
        <w:tc>
          <w:tcPr>
            <w:tcW w:type="dxa" w:w="1000"/>
            <w:shd w:fill="dbeafe" w:val="clear"/>
          </w:tcPr>
          <w:p>
            <w:pPr>
              <w:spacing w:after="60" w:before="60"/>
            </w:pPr>
            <w:r>
              <w:rPr>
                <w:rFonts w:ascii="Times New Roman" w:cs="Times New Roman" w:eastAsia="Times New Roman" w:hAnsi="Times New Roman"/>
                <w:b/>
                <w:bCs/>
                <w:sz w:val="190"/>
                <w:szCs w:val="190"/>
              </w:rPr>
              <w:t xml:space="preserve">GeoAI [6]</w:t>
            </w:r>
          </w:p>
        </w:tc>
        <w:tc>
          <w:tcPr>
            <w:tcW w:type="dxa" w:w="1100"/>
            <w:shd w:fill="dbeafe" w:val="clear"/>
          </w:tcPr>
          <w:p>
            <w:pPr>
              <w:spacing w:after="60" w:before="60"/>
            </w:pPr>
            <w:r>
              <w:rPr>
                <w:rFonts w:ascii="Times New Roman" w:cs="Times New Roman" w:eastAsia="Times New Roman" w:hAnsi="Times New Roman"/>
                <w:b/>
                <w:bCs/>
                <w:sz w:val="190"/>
                <w:szCs w:val="190"/>
              </w:rPr>
              <w:t xml:space="preserve">TorchGeo [7]</w:t>
            </w:r>
          </w:p>
        </w:tc>
        <w:tc>
          <w:tcPr>
            <w:tcW w:type="dxa" w:w="1200"/>
            <w:shd w:fill="dbeafe" w:val="clear"/>
          </w:tcPr>
          <w:p>
            <w:pPr>
              <w:spacing w:after="60" w:before="60"/>
            </w:pPr>
            <w:r>
              <w:rPr>
                <w:rFonts w:ascii="Times New Roman" w:cs="Times New Roman" w:eastAsia="Times New Roman" w:hAnsi="Times New Roman"/>
                <w:b/>
                <w:bCs/>
                <w:sz w:val="190"/>
                <w:szCs w:val="190"/>
              </w:rPr>
              <w:t xml:space="preserve">TerraTorch [8]</w:t>
            </w:r>
          </w:p>
        </w:tc>
        <w:tc>
          <w:tcPr>
            <w:tcW w:type="dxa" w:w="900"/>
            <w:shd w:fill="dbeafe" w:val="clear"/>
          </w:tcPr>
          <w:p>
            <w:pPr>
              <w:spacing w:after="60" w:before="60"/>
            </w:pPr>
            <w:r>
              <w:rPr>
                <w:rFonts w:ascii="Times New Roman" w:cs="Times New Roman" w:eastAsia="Times New Roman" w:hAnsi="Times New Roman"/>
                <w:b/>
                <w:bCs/>
                <w:sz w:val="190"/>
                <w:szCs w:val="190"/>
              </w:rPr>
              <w:t xml:space="preserve">EODAG [9]</w:t>
            </w:r>
          </w:p>
        </w:tc>
        <w:tc>
          <w:tcPr>
            <w:tcW w:type="dxa" w:w="760"/>
            <w:shd w:fill="dbeafe" w:val="clear"/>
          </w:tcPr>
          <w:p>
            <w:pPr>
              <w:spacing w:after="60" w:before="60"/>
            </w:pPr>
            <w:r>
              <w:rPr>
                <w:rFonts w:ascii="Times New Roman" w:cs="Times New Roman" w:eastAsia="Times New Roman" w:hAnsi="Times New Roman"/>
                <w:b/>
                <w:bCs/>
                <w:sz w:val="190"/>
                <w:szCs w:val="190"/>
              </w:rPr>
              <w:t xml:space="preserve">GEE</w:t>
            </w:r>
          </w:p>
        </w:tc>
      </w:tr>
      <w:tr>
        <w:tc>
          <w:tcPr>
            <w:tcW w:type="dxa" w:w="2200"/>
          </w:tcPr>
          <w:p>
            <w:pPr>
              <w:spacing w:after="40" w:before="40"/>
            </w:pPr>
            <w:r>
              <w:rPr>
                <w:rFonts w:ascii="Times New Roman" w:cs="Times New Roman" w:eastAsia="Times New Roman" w:hAnsi="Times New Roman"/>
                <w:sz w:val="190"/>
                <w:szCs w:val="190"/>
              </w:rPr>
              <w:t xml:space="preserve">Data providers</w:t>
            </w:r>
          </w:p>
        </w:tc>
        <w:tc>
          <w:tcPr>
            <w:tcW w:type="dxa" w:w="1200"/>
          </w:tcPr>
          <w:p>
            <w:pPr>
              <w:spacing w:after="40" w:before="40"/>
            </w:pPr>
            <w:r>
              <w:rPr>
                <w:rFonts w:ascii="Times New Roman" w:cs="Times New Roman" w:eastAsia="Times New Roman" w:hAnsi="Times New Roman"/>
                <w:sz w:val="190"/>
                <w:szCs w:val="190"/>
              </w:rPr>
              <w:t xml:space="preserve">22+</w:t>
            </w:r>
          </w:p>
        </w:tc>
        <w:tc>
          <w:tcPr>
            <w:tcW w:type="dxa" w:w="1000"/>
          </w:tcPr>
          <w:p>
            <w:pPr>
              <w:spacing w:after="40" w:before="40"/>
            </w:pPr>
            <w:r>
              <w:rPr>
                <w:rFonts w:ascii="Times New Roman" w:cs="Times New Roman" w:eastAsia="Times New Roman" w:hAnsi="Times New Roman"/>
                <w:sz w:val="190"/>
                <w:szCs w:val="190"/>
              </w:rPr>
              <w:t xml:space="preserve">3</w:t>
            </w:r>
          </w:p>
        </w:tc>
        <w:tc>
          <w:tcPr>
            <w:tcW w:type="dxa" w:w="1100"/>
          </w:tcPr>
          <w:p>
            <w:pPr>
              <w:spacing w:after="40" w:before="40"/>
            </w:pPr>
            <w:r>
              <w:rPr>
                <w:rFonts w:ascii="Times New Roman" w:cs="Times New Roman" w:eastAsia="Times New Roman" w:hAnsi="Times New Roman"/>
                <w:sz w:val="190"/>
                <w:szCs w:val="190"/>
              </w:rPr>
              <w:t xml:space="preserve">3</w:t>
            </w:r>
          </w:p>
        </w:tc>
        <w:tc>
          <w:tcPr>
            <w:tcW w:type="dxa" w:w="1200"/>
          </w:tcPr>
          <w:p>
            <w:pPr>
              <w:spacing w:after="40" w:before="40"/>
            </w:pPr>
            <w:r>
              <w:rPr>
                <w:rFonts w:ascii="Times New Roman" w:cs="Times New Roman" w:eastAsia="Times New Roman" w:hAnsi="Times New Roman"/>
                <w:sz w:val="190"/>
                <w:szCs w:val="190"/>
              </w:rPr>
              <w:t xml:space="preserve">3</w:t>
            </w:r>
          </w:p>
        </w:tc>
        <w:tc>
          <w:tcPr>
            <w:tcW w:type="dxa" w:w="900"/>
          </w:tcPr>
          <w:p>
            <w:pPr>
              <w:spacing w:after="40" w:before="40"/>
            </w:pPr>
            <w:r>
              <w:rPr>
                <w:rFonts w:ascii="Times New Roman" w:cs="Times New Roman" w:eastAsia="Times New Roman" w:hAnsi="Times New Roman"/>
                <w:sz w:val="190"/>
                <w:szCs w:val="190"/>
              </w:rPr>
              <w:t xml:space="preserve">10+</w:t>
            </w:r>
          </w:p>
        </w:tc>
        <w:tc>
          <w:tcPr>
            <w:tcW w:type="dxa" w:w="760"/>
          </w:tcPr>
          <w:p>
            <w:pPr>
              <w:spacing w:after="40" w:before="40"/>
            </w:pPr>
            <w:r>
              <w:rPr>
                <w:rFonts w:ascii="Times New Roman" w:cs="Times New Roman" w:eastAsia="Times New Roman" w:hAnsi="Times New Roman"/>
                <w:sz w:val="190"/>
                <w:szCs w:val="190"/>
              </w:rPr>
              <w:t xml:space="preserve">100+</w:t>
            </w:r>
          </w:p>
        </w:tc>
      </w:tr>
      <w:tr>
        <w:tc>
          <w:tcPr>
            <w:tcW w:type="dxa" w:w="2200"/>
          </w:tcPr>
          <w:p>
            <w:pPr>
              <w:spacing w:after="40" w:before="40"/>
            </w:pPr>
            <w:r>
              <w:rPr>
                <w:rFonts w:ascii="Times New Roman" w:cs="Times New Roman" w:eastAsia="Times New Roman" w:hAnsi="Times New Roman"/>
                <w:sz w:val="190"/>
                <w:szCs w:val="190"/>
              </w:rPr>
              <w:t xml:space="preserve">Data acquisition</w:t>
            </w:r>
          </w:p>
        </w:tc>
        <w:tc>
          <w:tcPr>
            <w:tcW w:type="dxa" w:w="1200"/>
          </w:tcPr>
          <w:p>
            <w:pPr>
              <w:spacing w:after="40" w:before="40"/>
            </w:pPr>
            <w:r>
              <w:rPr>
                <w:rFonts w:ascii="Times New Roman" w:cs="Times New Roman" w:eastAsia="Times New Roman" w:hAnsi="Times New Roman"/>
                <w:sz w:val="190"/>
                <w:szCs w:val="190"/>
              </w:rPr>
              <w:t xml:space="preserve">Yes</w:t>
            </w:r>
          </w:p>
        </w:tc>
        <w:tc>
          <w:tcPr>
            <w:tcW w:type="dxa" w:w="1000"/>
          </w:tcPr>
          <w:p>
            <w:pPr>
              <w:spacing w:after="40" w:before="40"/>
            </w:pPr>
            <w:r>
              <w:rPr>
                <w:rFonts w:ascii="Times New Roman" w:cs="Times New Roman" w:eastAsia="Times New Roman" w:hAnsi="Times New Roman"/>
                <w:sz w:val="190"/>
                <w:szCs w:val="190"/>
              </w:rPr>
              <w:t xml:space="preserve">No</w:t>
            </w:r>
          </w:p>
        </w:tc>
        <w:tc>
          <w:tcPr>
            <w:tcW w:type="dxa" w:w="1100"/>
          </w:tcPr>
          <w:p>
            <w:pPr>
              <w:spacing w:after="40" w:before="40"/>
            </w:pPr>
            <w:r>
              <w:rPr>
                <w:rFonts w:ascii="Times New Roman" w:cs="Times New Roman" w:eastAsia="Times New Roman" w:hAnsi="Times New Roman"/>
                <w:sz w:val="190"/>
                <w:szCs w:val="190"/>
              </w:rPr>
              <w:t xml:space="preserve">No</w:t>
            </w:r>
          </w:p>
        </w:tc>
        <w:tc>
          <w:tcPr>
            <w:tcW w:type="dxa" w:w="1200"/>
          </w:tcPr>
          <w:p>
            <w:pPr>
              <w:spacing w:after="40" w:before="40"/>
            </w:pPr>
            <w:r>
              <w:rPr>
                <w:rFonts w:ascii="Times New Roman" w:cs="Times New Roman" w:eastAsia="Times New Roman" w:hAnsi="Times New Roman"/>
                <w:sz w:val="190"/>
                <w:szCs w:val="190"/>
              </w:rPr>
              <w:t xml:space="preserve">No</w:t>
            </w:r>
          </w:p>
        </w:tc>
        <w:tc>
          <w:tcPr>
            <w:tcW w:type="dxa" w:w="900"/>
          </w:tcPr>
          <w:p>
            <w:pPr>
              <w:spacing w:after="40" w:before="40"/>
            </w:pPr>
            <w:r>
              <w:rPr>
                <w:rFonts w:ascii="Times New Roman" w:cs="Times New Roman" w:eastAsia="Times New Roman" w:hAnsi="Times New Roman"/>
                <w:sz w:val="190"/>
                <w:szCs w:val="190"/>
              </w:rPr>
              <w:t xml:space="preserve">Yes</w:t>
            </w:r>
          </w:p>
        </w:tc>
        <w:tc>
          <w:tcPr>
            <w:tcW w:type="dxa" w:w="760"/>
          </w:tcPr>
          <w:p>
            <w:pPr>
              <w:spacing w:after="40" w:before="40"/>
            </w:pPr>
            <w:r>
              <w:rPr>
                <w:rFonts w:ascii="Times New Roman" w:cs="Times New Roman" w:eastAsia="Times New Roman" w:hAnsi="Times New Roman"/>
                <w:sz w:val="190"/>
                <w:szCs w:val="190"/>
              </w:rPr>
              <w:t xml:space="preserve">Yes</w:t>
            </w:r>
          </w:p>
        </w:tc>
      </w:tr>
      <w:tr>
        <w:tc>
          <w:tcPr>
            <w:tcW w:type="dxa" w:w="2200"/>
          </w:tcPr>
          <w:p>
            <w:pPr>
              <w:spacing w:after="40" w:before="40"/>
            </w:pPr>
            <w:r>
              <w:rPr>
                <w:rFonts w:ascii="Times New Roman" w:cs="Times New Roman" w:eastAsia="Times New Roman" w:hAnsi="Times New Roman"/>
                <w:sz w:val="190"/>
                <w:szCs w:val="190"/>
              </w:rPr>
              <w:t xml:space="preserve">Preprocessing pipeline</w:t>
            </w:r>
          </w:p>
        </w:tc>
        <w:tc>
          <w:tcPr>
            <w:tcW w:type="dxa" w:w="1200"/>
          </w:tcPr>
          <w:p>
            <w:pPr>
              <w:spacing w:after="40" w:before="40"/>
            </w:pPr>
            <w:r>
              <w:rPr>
                <w:rFonts w:ascii="Times New Roman" w:cs="Times New Roman" w:eastAsia="Times New Roman" w:hAnsi="Times New Roman"/>
                <w:sz w:val="190"/>
                <w:szCs w:val="190"/>
              </w:rPr>
              <w:t xml:space="preserve">Yes</w:t>
            </w:r>
          </w:p>
        </w:tc>
        <w:tc>
          <w:tcPr>
            <w:tcW w:type="dxa" w:w="1000"/>
          </w:tcPr>
          <w:p>
            <w:pPr>
              <w:spacing w:after="40" w:before="40"/>
            </w:pPr>
            <w:r>
              <w:rPr>
                <w:rFonts w:ascii="Times New Roman" w:cs="Times New Roman" w:eastAsia="Times New Roman" w:hAnsi="Times New Roman"/>
                <w:sz w:val="190"/>
                <w:szCs w:val="190"/>
              </w:rPr>
              <w:t xml:space="preserve">No</w:t>
            </w:r>
          </w:p>
        </w:tc>
        <w:tc>
          <w:tcPr>
            <w:tcW w:type="dxa" w:w="1100"/>
          </w:tcPr>
          <w:p>
            <w:pPr>
              <w:spacing w:after="40" w:before="40"/>
            </w:pPr>
            <w:r>
              <w:rPr>
                <w:rFonts w:ascii="Times New Roman" w:cs="Times New Roman" w:eastAsia="Times New Roman" w:hAnsi="Times New Roman"/>
                <w:sz w:val="190"/>
                <w:szCs w:val="190"/>
              </w:rPr>
              <w:t xml:space="preserve">No</w:t>
            </w:r>
          </w:p>
        </w:tc>
        <w:tc>
          <w:tcPr>
            <w:tcW w:type="dxa" w:w="1200"/>
          </w:tcPr>
          <w:p>
            <w:pPr>
              <w:spacing w:after="40" w:before="40"/>
            </w:pPr>
            <w:r>
              <w:rPr>
                <w:rFonts w:ascii="Times New Roman" w:cs="Times New Roman" w:eastAsia="Times New Roman" w:hAnsi="Times New Roman"/>
                <w:sz w:val="190"/>
                <w:szCs w:val="190"/>
              </w:rPr>
              <w:t xml:space="preserve">No</w:t>
            </w:r>
          </w:p>
        </w:tc>
        <w:tc>
          <w:tcPr>
            <w:tcW w:type="dxa" w:w="900"/>
          </w:tcPr>
          <w:p>
            <w:pPr>
              <w:spacing w:after="40" w:before="40"/>
            </w:pPr>
            <w:r>
              <w:rPr>
                <w:rFonts w:ascii="Times New Roman" w:cs="Times New Roman" w:eastAsia="Times New Roman" w:hAnsi="Times New Roman"/>
                <w:sz w:val="190"/>
                <w:szCs w:val="190"/>
              </w:rPr>
              <w:t xml:space="preserve">No</w:t>
            </w:r>
          </w:p>
        </w:tc>
        <w:tc>
          <w:tcPr>
            <w:tcW w:type="dxa" w:w="760"/>
          </w:tcPr>
          <w:p>
            <w:pPr>
              <w:spacing w:after="40" w:before="40"/>
            </w:pPr>
            <w:r>
              <w:rPr>
                <w:rFonts w:ascii="Times New Roman" w:cs="Times New Roman" w:eastAsia="Times New Roman" w:hAnsi="Times New Roman"/>
                <w:sz w:val="190"/>
                <w:szCs w:val="190"/>
              </w:rPr>
              <w:t xml:space="preserve">Partial</w:t>
            </w:r>
          </w:p>
        </w:tc>
      </w:tr>
      <w:tr>
        <w:tc>
          <w:tcPr>
            <w:tcW w:type="dxa" w:w="2200"/>
          </w:tcPr>
          <w:p>
            <w:pPr>
              <w:spacing w:after="40" w:before="40"/>
            </w:pPr>
            <w:r>
              <w:rPr>
                <w:rFonts w:ascii="Times New Roman" w:cs="Times New Roman" w:eastAsia="Times New Roman" w:hAnsi="Times New Roman"/>
                <w:sz w:val="190"/>
                <w:szCs w:val="190"/>
              </w:rPr>
              <w:t xml:space="preserve">AI model count</w:t>
            </w:r>
          </w:p>
        </w:tc>
        <w:tc>
          <w:tcPr>
            <w:tcW w:type="dxa" w:w="1200"/>
          </w:tcPr>
          <w:p>
            <w:pPr>
              <w:spacing w:after="40" w:before="40"/>
            </w:pPr>
            <w:r>
              <w:rPr>
                <w:rFonts w:ascii="Times New Roman" w:cs="Times New Roman" w:eastAsia="Times New Roman" w:hAnsi="Times New Roman"/>
                <w:sz w:val="190"/>
                <w:szCs w:val="190"/>
              </w:rPr>
              <w:t xml:space="preserve">119</w:t>
            </w:r>
          </w:p>
        </w:tc>
        <w:tc>
          <w:tcPr>
            <w:tcW w:type="dxa" w:w="1000"/>
          </w:tcPr>
          <w:p>
            <w:pPr>
              <w:spacing w:after="40" w:before="40"/>
            </w:pPr>
            <w:r>
              <w:rPr>
                <w:rFonts w:ascii="Times New Roman" w:cs="Times New Roman" w:eastAsia="Times New Roman" w:hAnsi="Times New Roman"/>
                <w:sz w:val="190"/>
                <w:szCs w:val="190"/>
              </w:rPr>
              <w:t xml:space="preserve">20</w:t>
            </w:r>
          </w:p>
        </w:tc>
        <w:tc>
          <w:tcPr>
            <w:tcW w:type="dxa" w:w="1100"/>
          </w:tcPr>
          <w:p>
            <w:pPr>
              <w:spacing w:after="40" w:before="40"/>
            </w:pPr>
            <w:r>
              <w:rPr>
                <w:rFonts w:ascii="Times New Roman" w:cs="Times New Roman" w:eastAsia="Times New Roman" w:hAnsi="Times New Roman"/>
                <w:sz w:val="190"/>
                <w:szCs w:val="190"/>
              </w:rPr>
              <w:t xml:space="preserve">15</w:t>
            </w:r>
          </w:p>
        </w:tc>
        <w:tc>
          <w:tcPr>
            <w:tcW w:type="dxa" w:w="1200"/>
          </w:tcPr>
          <w:p>
            <w:pPr>
              <w:spacing w:after="40" w:before="40"/>
            </w:pPr>
            <w:r>
              <w:rPr>
                <w:rFonts w:ascii="Times New Roman" w:cs="Times New Roman" w:eastAsia="Times New Roman" w:hAnsi="Times New Roman"/>
                <w:sz w:val="190"/>
                <w:szCs w:val="190"/>
              </w:rPr>
              <w:t xml:space="preserve">10</w:t>
            </w:r>
          </w:p>
        </w:tc>
        <w:tc>
          <w:tcPr>
            <w:tcW w:type="dxa" w:w="900"/>
          </w:tcPr>
          <w:p>
            <w:pPr>
              <w:spacing w:after="40" w:before="40"/>
            </w:pPr>
            <w:r>
              <w:rPr>
                <w:rFonts w:ascii="Times New Roman" w:cs="Times New Roman" w:eastAsia="Times New Roman" w:hAnsi="Times New Roman"/>
                <w:sz w:val="190"/>
                <w:szCs w:val="190"/>
              </w:rPr>
              <w:t xml:space="preserve">—</w:t>
            </w:r>
          </w:p>
        </w:tc>
        <w:tc>
          <w:tcPr>
            <w:tcW w:type="dxa" w:w="760"/>
          </w:tcPr>
          <w:p>
            <w:pPr>
              <w:spacing w:after="40" w:before="40"/>
            </w:pPr>
            <w:r>
              <w:rPr>
                <w:rFonts w:ascii="Times New Roman" w:cs="Times New Roman" w:eastAsia="Times New Roman" w:hAnsi="Times New Roman"/>
                <w:sz w:val="190"/>
                <w:szCs w:val="190"/>
              </w:rPr>
              <w:t xml:space="preserve">50+</w:t>
            </w:r>
          </w:p>
        </w:tc>
      </w:tr>
      <w:tr>
        <w:tc>
          <w:tcPr>
            <w:tcW w:type="dxa" w:w="2200"/>
          </w:tcPr>
          <w:p>
            <w:pPr>
              <w:spacing w:after="40" w:before="40"/>
            </w:pPr>
            <w:r>
              <w:rPr>
                <w:rFonts w:ascii="Times New Roman" w:cs="Times New Roman" w:eastAsia="Times New Roman" w:hAnsi="Times New Roman"/>
                <w:sz w:val="190"/>
                <w:szCs w:val="190"/>
              </w:rPr>
              <w:t xml:space="preserve">Foundation models</w:t>
            </w:r>
          </w:p>
        </w:tc>
        <w:tc>
          <w:tcPr>
            <w:tcW w:type="dxa" w:w="1200"/>
          </w:tcPr>
          <w:p>
            <w:pPr>
              <w:spacing w:after="40" w:before="40"/>
            </w:pPr>
            <w:r>
              <w:rPr>
                <w:rFonts w:ascii="Times New Roman" w:cs="Times New Roman" w:eastAsia="Times New Roman" w:hAnsi="Times New Roman"/>
                <w:sz w:val="190"/>
                <w:szCs w:val="190"/>
              </w:rPr>
              <w:t xml:space="preserve">Yes</w:t>
            </w:r>
          </w:p>
        </w:tc>
        <w:tc>
          <w:tcPr>
            <w:tcW w:type="dxa" w:w="1000"/>
          </w:tcPr>
          <w:p>
            <w:pPr>
              <w:spacing w:after="40" w:before="40"/>
            </w:pPr>
            <w:r>
              <w:rPr>
                <w:rFonts w:ascii="Times New Roman" w:cs="Times New Roman" w:eastAsia="Times New Roman" w:hAnsi="Times New Roman"/>
                <w:sz w:val="190"/>
                <w:szCs w:val="190"/>
              </w:rPr>
              <w:t xml:space="preserve">No</w:t>
            </w:r>
          </w:p>
        </w:tc>
        <w:tc>
          <w:tcPr>
            <w:tcW w:type="dxa" w:w="1100"/>
          </w:tcPr>
          <w:p>
            <w:pPr>
              <w:spacing w:after="40" w:before="40"/>
            </w:pPr>
            <w:r>
              <w:rPr>
                <w:rFonts w:ascii="Times New Roman" w:cs="Times New Roman" w:eastAsia="Times New Roman" w:hAnsi="Times New Roman"/>
                <w:sz w:val="190"/>
                <w:szCs w:val="190"/>
              </w:rPr>
              <w:t xml:space="preserve">No</w:t>
            </w:r>
          </w:p>
        </w:tc>
        <w:tc>
          <w:tcPr>
            <w:tcW w:type="dxa" w:w="1200"/>
          </w:tcPr>
          <w:p>
            <w:pPr>
              <w:spacing w:after="40" w:before="40"/>
            </w:pPr>
            <w:r>
              <w:rPr>
                <w:rFonts w:ascii="Times New Roman" w:cs="Times New Roman" w:eastAsia="Times New Roman" w:hAnsi="Times New Roman"/>
                <w:sz w:val="190"/>
                <w:szCs w:val="190"/>
              </w:rPr>
              <w:t xml:space="preserve">Partial</w:t>
            </w:r>
          </w:p>
        </w:tc>
        <w:tc>
          <w:tcPr>
            <w:tcW w:type="dxa" w:w="900"/>
          </w:tcPr>
          <w:p>
            <w:pPr>
              <w:spacing w:after="40" w:before="40"/>
            </w:pPr>
            <w:r>
              <w:rPr>
                <w:rFonts w:ascii="Times New Roman" w:cs="Times New Roman" w:eastAsia="Times New Roman" w:hAnsi="Times New Roman"/>
                <w:sz w:val="190"/>
                <w:szCs w:val="190"/>
              </w:rPr>
              <w:t xml:space="preserve">No</w:t>
            </w:r>
          </w:p>
        </w:tc>
        <w:tc>
          <w:tcPr>
            <w:tcW w:type="dxa" w:w="760"/>
          </w:tcPr>
          <w:p>
            <w:pPr>
              <w:spacing w:after="40" w:before="40"/>
            </w:pPr>
            <w:r>
              <w:rPr>
                <w:rFonts w:ascii="Times New Roman" w:cs="Times New Roman" w:eastAsia="Times New Roman" w:hAnsi="Times New Roman"/>
                <w:sz w:val="190"/>
                <w:szCs w:val="190"/>
              </w:rPr>
              <w:t xml:space="preserve">No</w:t>
            </w:r>
          </w:p>
        </w:tc>
      </w:tr>
      <w:tr>
        <w:tc>
          <w:tcPr>
            <w:tcW w:type="dxa" w:w="2200"/>
          </w:tcPr>
          <w:p>
            <w:pPr>
              <w:spacing w:after="40" w:before="40"/>
            </w:pPr>
            <w:r>
              <w:rPr>
                <w:rFonts w:ascii="Times New Roman" w:cs="Times New Roman" w:eastAsia="Times New Roman" w:hAnsi="Times New Roman"/>
                <w:sz w:val="190"/>
                <w:szCs w:val="190"/>
              </w:rPr>
              <w:t xml:space="preserve">DINOv3 (12 variants)</w:t>
            </w:r>
          </w:p>
        </w:tc>
        <w:tc>
          <w:tcPr>
            <w:tcW w:type="dxa" w:w="1200"/>
          </w:tcPr>
          <w:p>
            <w:pPr>
              <w:spacing w:after="40" w:before="40"/>
            </w:pPr>
            <w:r>
              <w:rPr>
                <w:rFonts w:ascii="Times New Roman" w:cs="Times New Roman" w:eastAsia="Times New Roman" w:hAnsi="Times New Roman"/>
                <w:sz w:val="190"/>
                <w:szCs w:val="190"/>
              </w:rPr>
              <w:t xml:space="preserve">Yes</w:t>
            </w:r>
          </w:p>
        </w:tc>
        <w:tc>
          <w:tcPr>
            <w:tcW w:type="dxa" w:w="1000"/>
          </w:tcPr>
          <w:p>
            <w:pPr>
              <w:spacing w:after="40" w:before="40"/>
            </w:pPr>
            <w:r>
              <w:rPr>
                <w:rFonts w:ascii="Times New Roman" w:cs="Times New Roman" w:eastAsia="Times New Roman" w:hAnsi="Times New Roman"/>
                <w:sz w:val="190"/>
                <w:szCs w:val="190"/>
              </w:rPr>
              <w:t xml:space="preserve">No</w:t>
            </w:r>
          </w:p>
        </w:tc>
        <w:tc>
          <w:tcPr>
            <w:tcW w:type="dxa" w:w="1100"/>
          </w:tcPr>
          <w:p>
            <w:pPr>
              <w:spacing w:after="40" w:before="40"/>
            </w:pPr>
            <w:r>
              <w:rPr>
                <w:rFonts w:ascii="Times New Roman" w:cs="Times New Roman" w:eastAsia="Times New Roman" w:hAnsi="Times New Roman"/>
                <w:sz w:val="190"/>
                <w:szCs w:val="190"/>
              </w:rPr>
              <w:t xml:space="preserve">No</w:t>
            </w:r>
          </w:p>
        </w:tc>
        <w:tc>
          <w:tcPr>
            <w:tcW w:type="dxa" w:w="1200"/>
          </w:tcPr>
          <w:p>
            <w:pPr>
              <w:spacing w:after="40" w:before="40"/>
            </w:pPr>
            <w:r>
              <w:rPr>
                <w:rFonts w:ascii="Times New Roman" w:cs="Times New Roman" w:eastAsia="Times New Roman" w:hAnsi="Times New Roman"/>
                <w:sz w:val="190"/>
                <w:szCs w:val="190"/>
              </w:rPr>
              <w:t xml:space="preserve">No</w:t>
            </w:r>
          </w:p>
        </w:tc>
        <w:tc>
          <w:tcPr>
            <w:tcW w:type="dxa" w:w="900"/>
          </w:tcPr>
          <w:p>
            <w:pPr>
              <w:spacing w:after="40" w:before="40"/>
            </w:pPr>
            <w:r>
              <w:rPr>
                <w:rFonts w:ascii="Times New Roman" w:cs="Times New Roman" w:eastAsia="Times New Roman" w:hAnsi="Times New Roman"/>
                <w:sz w:val="190"/>
                <w:szCs w:val="190"/>
              </w:rPr>
              <w:t xml:space="preserve">No</w:t>
            </w:r>
          </w:p>
        </w:tc>
        <w:tc>
          <w:tcPr>
            <w:tcW w:type="dxa" w:w="760"/>
          </w:tcPr>
          <w:p>
            <w:pPr>
              <w:spacing w:after="40" w:before="40"/>
            </w:pPr>
            <w:r>
              <w:rPr>
                <w:rFonts w:ascii="Times New Roman" w:cs="Times New Roman" w:eastAsia="Times New Roman" w:hAnsi="Times New Roman"/>
                <w:sz w:val="190"/>
                <w:szCs w:val="190"/>
              </w:rPr>
              <w:t xml:space="preserve">No</w:t>
            </w:r>
          </w:p>
        </w:tc>
      </w:tr>
      <w:tr>
        <w:tc>
          <w:tcPr>
            <w:tcW w:type="dxa" w:w="2200"/>
          </w:tcPr>
          <w:p>
            <w:pPr>
              <w:spacing w:after="40" w:before="40"/>
            </w:pPr>
            <w:r>
              <w:rPr>
                <w:rFonts w:ascii="Times New Roman" w:cs="Times New Roman" w:eastAsia="Times New Roman" w:hAnsi="Times New Roman"/>
                <w:sz w:val="190"/>
                <w:szCs w:val="190"/>
              </w:rPr>
              <w:t xml:space="preserve">Natural language agent</w:t>
            </w:r>
          </w:p>
        </w:tc>
        <w:tc>
          <w:tcPr>
            <w:tcW w:type="dxa" w:w="1200"/>
          </w:tcPr>
          <w:p>
            <w:pPr>
              <w:spacing w:after="40" w:before="40"/>
            </w:pPr>
            <w:r>
              <w:rPr>
                <w:rFonts w:ascii="Times New Roman" w:cs="Times New Roman" w:eastAsia="Times New Roman" w:hAnsi="Times New Roman"/>
                <w:sz w:val="190"/>
                <w:szCs w:val="190"/>
              </w:rPr>
              <w:t xml:space="preserve">Yes</w:t>
            </w:r>
          </w:p>
        </w:tc>
        <w:tc>
          <w:tcPr>
            <w:tcW w:type="dxa" w:w="1000"/>
          </w:tcPr>
          <w:p>
            <w:pPr>
              <w:spacing w:after="40" w:before="40"/>
            </w:pPr>
            <w:r>
              <w:rPr>
                <w:rFonts w:ascii="Times New Roman" w:cs="Times New Roman" w:eastAsia="Times New Roman" w:hAnsi="Times New Roman"/>
                <w:sz w:val="190"/>
                <w:szCs w:val="190"/>
              </w:rPr>
              <w:t xml:space="preserve">No</w:t>
            </w:r>
          </w:p>
        </w:tc>
        <w:tc>
          <w:tcPr>
            <w:tcW w:type="dxa" w:w="1100"/>
          </w:tcPr>
          <w:p>
            <w:pPr>
              <w:spacing w:after="40" w:before="40"/>
            </w:pPr>
            <w:r>
              <w:rPr>
                <w:rFonts w:ascii="Times New Roman" w:cs="Times New Roman" w:eastAsia="Times New Roman" w:hAnsi="Times New Roman"/>
                <w:sz w:val="190"/>
                <w:szCs w:val="190"/>
              </w:rPr>
              <w:t xml:space="preserve">No</w:t>
            </w:r>
          </w:p>
        </w:tc>
        <w:tc>
          <w:tcPr>
            <w:tcW w:type="dxa" w:w="1200"/>
          </w:tcPr>
          <w:p>
            <w:pPr>
              <w:spacing w:after="40" w:before="40"/>
            </w:pPr>
            <w:r>
              <w:rPr>
                <w:rFonts w:ascii="Times New Roman" w:cs="Times New Roman" w:eastAsia="Times New Roman" w:hAnsi="Times New Roman"/>
                <w:sz w:val="190"/>
                <w:szCs w:val="190"/>
              </w:rPr>
              <w:t xml:space="preserve">No</w:t>
            </w:r>
          </w:p>
        </w:tc>
        <w:tc>
          <w:tcPr>
            <w:tcW w:type="dxa" w:w="900"/>
          </w:tcPr>
          <w:p>
            <w:pPr>
              <w:spacing w:after="40" w:before="40"/>
            </w:pPr>
            <w:r>
              <w:rPr>
                <w:rFonts w:ascii="Times New Roman" w:cs="Times New Roman" w:eastAsia="Times New Roman" w:hAnsi="Times New Roman"/>
                <w:sz w:val="190"/>
                <w:szCs w:val="190"/>
              </w:rPr>
              <w:t xml:space="preserve">No</w:t>
            </w:r>
          </w:p>
        </w:tc>
        <w:tc>
          <w:tcPr>
            <w:tcW w:type="dxa" w:w="760"/>
          </w:tcPr>
          <w:p>
            <w:pPr>
              <w:spacing w:after="40" w:before="40"/>
            </w:pPr>
            <w:r>
              <w:rPr>
                <w:rFonts w:ascii="Times New Roman" w:cs="Times New Roman" w:eastAsia="Times New Roman" w:hAnsi="Times New Roman"/>
                <w:sz w:val="190"/>
                <w:szCs w:val="190"/>
              </w:rPr>
              <w:t xml:space="preserve">No</w:t>
            </w:r>
          </w:p>
        </w:tc>
      </w:tr>
      <w:tr>
        <w:tc>
          <w:tcPr>
            <w:tcW w:type="dxa" w:w="2200"/>
          </w:tcPr>
          <w:p>
            <w:pPr>
              <w:spacing w:after="40" w:before="40"/>
            </w:pPr>
            <w:r>
              <w:rPr>
                <w:rFonts w:ascii="Times New Roman" w:cs="Times New Roman" w:eastAsia="Times New Roman" w:hAnsi="Times New Roman"/>
                <w:sz w:val="190"/>
                <w:szCs w:val="190"/>
              </w:rPr>
              <w:t xml:space="preserve">SAR + InSAR chain</w:t>
            </w:r>
          </w:p>
        </w:tc>
        <w:tc>
          <w:tcPr>
            <w:tcW w:type="dxa" w:w="1200"/>
          </w:tcPr>
          <w:p>
            <w:pPr>
              <w:spacing w:after="40" w:before="40"/>
            </w:pPr>
            <w:r>
              <w:rPr>
                <w:rFonts w:ascii="Times New Roman" w:cs="Times New Roman" w:eastAsia="Times New Roman" w:hAnsi="Times New Roman"/>
                <w:sz w:val="190"/>
                <w:szCs w:val="190"/>
              </w:rPr>
              <w:t xml:space="preserve">Yes</w:t>
            </w:r>
          </w:p>
        </w:tc>
        <w:tc>
          <w:tcPr>
            <w:tcW w:type="dxa" w:w="1000"/>
          </w:tcPr>
          <w:p>
            <w:pPr>
              <w:spacing w:after="40" w:before="40"/>
            </w:pPr>
            <w:r>
              <w:rPr>
                <w:rFonts w:ascii="Times New Roman" w:cs="Times New Roman" w:eastAsia="Times New Roman" w:hAnsi="Times New Roman"/>
                <w:sz w:val="190"/>
                <w:szCs w:val="190"/>
              </w:rPr>
              <w:t xml:space="preserve">No</w:t>
            </w:r>
          </w:p>
        </w:tc>
        <w:tc>
          <w:tcPr>
            <w:tcW w:type="dxa" w:w="1100"/>
          </w:tcPr>
          <w:p>
            <w:pPr>
              <w:spacing w:after="40" w:before="40"/>
            </w:pPr>
            <w:r>
              <w:rPr>
                <w:rFonts w:ascii="Times New Roman" w:cs="Times New Roman" w:eastAsia="Times New Roman" w:hAnsi="Times New Roman"/>
                <w:sz w:val="190"/>
                <w:szCs w:val="190"/>
              </w:rPr>
              <w:t xml:space="preserve">No</w:t>
            </w:r>
          </w:p>
        </w:tc>
        <w:tc>
          <w:tcPr>
            <w:tcW w:type="dxa" w:w="1200"/>
          </w:tcPr>
          <w:p>
            <w:pPr>
              <w:spacing w:after="40" w:before="40"/>
            </w:pPr>
            <w:r>
              <w:rPr>
                <w:rFonts w:ascii="Times New Roman" w:cs="Times New Roman" w:eastAsia="Times New Roman" w:hAnsi="Times New Roman"/>
                <w:sz w:val="190"/>
                <w:szCs w:val="190"/>
              </w:rPr>
              <w:t xml:space="preserve">No</w:t>
            </w:r>
          </w:p>
        </w:tc>
        <w:tc>
          <w:tcPr>
            <w:tcW w:type="dxa" w:w="900"/>
          </w:tcPr>
          <w:p>
            <w:pPr>
              <w:spacing w:after="40" w:before="40"/>
            </w:pPr>
            <w:r>
              <w:rPr>
                <w:rFonts w:ascii="Times New Roman" w:cs="Times New Roman" w:eastAsia="Times New Roman" w:hAnsi="Times New Roman"/>
                <w:sz w:val="190"/>
                <w:szCs w:val="190"/>
              </w:rPr>
              <w:t xml:space="preserve">No</w:t>
            </w:r>
          </w:p>
        </w:tc>
        <w:tc>
          <w:tcPr>
            <w:tcW w:type="dxa" w:w="760"/>
          </w:tcPr>
          <w:p>
            <w:pPr>
              <w:spacing w:after="40" w:before="40"/>
            </w:pPr>
            <w:r>
              <w:rPr>
                <w:rFonts w:ascii="Times New Roman" w:cs="Times New Roman" w:eastAsia="Times New Roman" w:hAnsi="Times New Roman"/>
                <w:sz w:val="190"/>
                <w:szCs w:val="190"/>
              </w:rPr>
              <w:t xml:space="preserve">Partial</w:t>
            </w:r>
          </w:p>
        </w:tc>
      </w:tr>
      <w:tr>
        <w:tc>
          <w:tcPr>
            <w:tcW w:type="dxa" w:w="2200"/>
          </w:tcPr>
          <w:p>
            <w:pPr>
              <w:spacing w:after="40" w:before="40"/>
            </w:pPr>
            <w:r>
              <w:rPr>
                <w:rFonts w:ascii="Times New Roman" w:cs="Times New Roman" w:eastAsia="Times New Roman" w:hAnsi="Times New Roman"/>
                <w:sz w:val="190"/>
                <w:szCs w:val="190"/>
              </w:rPr>
              <w:t xml:space="preserve">Visualization layer</w:t>
            </w:r>
          </w:p>
        </w:tc>
        <w:tc>
          <w:tcPr>
            <w:tcW w:type="dxa" w:w="1200"/>
          </w:tcPr>
          <w:p>
            <w:pPr>
              <w:spacing w:after="40" w:before="40"/>
            </w:pPr>
            <w:r>
              <w:rPr>
                <w:rFonts w:ascii="Times New Roman" w:cs="Times New Roman" w:eastAsia="Times New Roman" w:hAnsi="Times New Roman"/>
                <w:sz w:val="190"/>
                <w:szCs w:val="190"/>
              </w:rPr>
              <w:t xml:space="preserve">Yes</w:t>
            </w:r>
          </w:p>
        </w:tc>
        <w:tc>
          <w:tcPr>
            <w:tcW w:type="dxa" w:w="1000"/>
          </w:tcPr>
          <w:p>
            <w:pPr>
              <w:spacing w:after="40" w:before="40"/>
            </w:pPr>
            <w:r>
              <w:rPr>
                <w:rFonts w:ascii="Times New Roman" w:cs="Times New Roman" w:eastAsia="Times New Roman" w:hAnsi="Times New Roman"/>
                <w:sz w:val="190"/>
                <w:szCs w:val="190"/>
              </w:rPr>
              <w:t xml:space="preserve">No</w:t>
            </w:r>
          </w:p>
        </w:tc>
        <w:tc>
          <w:tcPr>
            <w:tcW w:type="dxa" w:w="1100"/>
          </w:tcPr>
          <w:p>
            <w:pPr>
              <w:spacing w:after="40" w:before="40"/>
            </w:pPr>
            <w:r>
              <w:rPr>
                <w:rFonts w:ascii="Times New Roman" w:cs="Times New Roman" w:eastAsia="Times New Roman" w:hAnsi="Times New Roman"/>
                <w:sz w:val="190"/>
                <w:szCs w:val="190"/>
              </w:rPr>
              <w:t xml:space="preserve">No</w:t>
            </w:r>
          </w:p>
        </w:tc>
        <w:tc>
          <w:tcPr>
            <w:tcW w:type="dxa" w:w="1200"/>
          </w:tcPr>
          <w:p>
            <w:pPr>
              <w:spacing w:after="40" w:before="40"/>
            </w:pPr>
            <w:r>
              <w:rPr>
                <w:rFonts w:ascii="Times New Roman" w:cs="Times New Roman" w:eastAsia="Times New Roman" w:hAnsi="Times New Roman"/>
                <w:sz w:val="190"/>
                <w:szCs w:val="190"/>
              </w:rPr>
              <w:t xml:space="preserve">No</w:t>
            </w:r>
          </w:p>
        </w:tc>
        <w:tc>
          <w:tcPr>
            <w:tcW w:type="dxa" w:w="900"/>
          </w:tcPr>
          <w:p>
            <w:pPr>
              <w:spacing w:after="40" w:before="40"/>
            </w:pPr>
            <w:r>
              <w:rPr>
                <w:rFonts w:ascii="Times New Roman" w:cs="Times New Roman" w:eastAsia="Times New Roman" w:hAnsi="Times New Roman"/>
                <w:sz w:val="190"/>
                <w:szCs w:val="190"/>
              </w:rPr>
              <w:t xml:space="preserve">No</w:t>
            </w:r>
          </w:p>
        </w:tc>
        <w:tc>
          <w:tcPr>
            <w:tcW w:type="dxa" w:w="760"/>
          </w:tcPr>
          <w:p>
            <w:pPr>
              <w:spacing w:after="40" w:before="40"/>
            </w:pPr>
            <w:r>
              <w:rPr>
                <w:rFonts w:ascii="Times New Roman" w:cs="Times New Roman" w:eastAsia="Times New Roman" w:hAnsi="Times New Roman"/>
                <w:sz w:val="190"/>
                <w:szCs w:val="190"/>
              </w:rPr>
              <w:t xml:space="preserve">Yes</w:t>
            </w:r>
          </w:p>
        </w:tc>
      </w:tr>
      <w:tr>
        <w:tc>
          <w:tcPr>
            <w:tcW w:type="dxa" w:w="2200"/>
          </w:tcPr>
          <w:p>
            <w:pPr>
              <w:spacing w:after="40" w:before="40"/>
            </w:pPr>
            <w:r>
              <w:rPr>
                <w:rFonts w:ascii="Times New Roman" w:cs="Times New Roman" w:eastAsia="Times New Roman" w:hAnsi="Times New Roman"/>
                <w:sz w:val="190"/>
                <w:szCs w:val="190"/>
              </w:rPr>
              <w:t xml:space="preserve">Enterprise / RBAC</w:t>
            </w:r>
          </w:p>
        </w:tc>
        <w:tc>
          <w:tcPr>
            <w:tcW w:type="dxa" w:w="1200"/>
          </w:tcPr>
          <w:p>
            <w:pPr>
              <w:spacing w:after="40" w:before="40"/>
            </w:pPr>
            <w:r>
              <w:rPr>
                <w:rFonts w:ascii="Times New Roman" w:cs="Times New Roman" w:eastAsia="Times New Roman" w:hAnsi="Times New Roman"/>
                <w:sz w:val="190"/>
                <w:szCs w:val="190"/>
              </w:rPr>
              <w:t xml:space="preserve">Yes</w:t>
            </w:r>
          </w:p>
        </w:tc>
        <w:tc>
          <w:tcPr>
            <w:tcW w:type="dxa" w:w="1000"/>
          </w:tcPr>
          <w:p>
            <w:pPr>
              <w:spacing w:after="40" w:before="40"/>
            </w:pPr>
            <w:r>
              <w:rPr>
                <w:rFonts w:ascii="Times New Roman" w:cs="Times New Roman" w:eastAsia="Times New Roman" w:hAnsi="Times New Roman"/>
                <w:sz w:val="190"/>
                <w:szCs w:val="190"/>
              </w:rPr>
              <w:t xml:space="preserve">No</w:t>
            </w:r>
          </w:p>
        </w:tc>
        <w:tc>
          <w:tcPr>
            <w:tcW w:type="dxa" w:w="1100"/>
          </w:tcPr>
          <w:p>
            <w:pPr>
              <w:spacing w:after="40" w:before="40"/>
            </w:pPr>
            <w:r>
              <w:rPr>
                <w:rFonts w:ascii="Times New Roman" w:cs="Times New Roman" w:eastAsia="Times New Roman" w:hAnsi="Times New Roman"/>
                <w:sz w:val="190"/>
                <w:szCs w:val="190"/>
              </w:rPr>
              <w:t xml:space="preserve">No</w:t>
            </w:r>
          </w:p>
        </w:tc>
        <w:tc>
          <w:tcPr>
            <w:tcW w:type="dxa" w:w="1200"/>
          </w:tcPr>
          <w:p>
            <w:pPr>
              <w:spacing w:after="40" w:before="40"/>
            </w:pPr>
            <w:r>
              <w:rPr>
                <w:rFonts w:ascii="Times New Roman" w:cs="Times New Roman" w:eastAsia="Times New Roman" w:hAnsi="Times New Roman"/>
                <w:sz w:val="190"/>
                <w:szCs w:val="190"/>
              </w:rPr>
              <w:t xml:space="preserve">No</w:t>
            </w:r>
          </w:p>
        </w:tc>
        <w:tc>
          <w:tcPr>
            <w:tcW w:type="dxa" w:w="900"/>
          </w:tcPr>
          <w:p>
            <w:pPr>
              <w:spacing w:after="40" w:before="40"/>
            </w:pPr>
            <w:r>
              <w:rPr>
                <w:rFonts w:ascii="Times New Roman" w:cs="Times New Roman" w:eastAsia="Times New Roman" w:hAnsi="Times New Roman"/>
                <w:sz w:val="190"/>
                <w:szCs w:val="190"/>
              </w:rPr>
              <w:t xml:space="preserve">No</w:t>
            </w:r>
          </w:p>
        </w:tc>
        <w:tc>
          <w:tcPr>
            <w:tcW w:type="dxa" w:w="760"/>
          </w:tcPr>
          <w:p>
            <w:pPr>
              <w:spacing w:after="40" w:before="40"/>
            </w:pPr>
            <w:r>
              <w:rPr>
                <w:rFonts w:ascii="Times New Roman" w:cs="Times New Roman" w:eastAsia="Times New Roman" w:hAnsi="Times New Roman"/>
                <w:sz w:val="190"/>
                <w:szCs w:val="190"/>
              </w:rPr>
              <w:t xml:space="preserve">Yes</w:t>
            </w:r>
          </w:p>
        </w:tc>
      </w:tr>
      <w:tr>
        <w:tc>
          <w:tcPr>
            <w:tcW w:type="dxa" w:w="2200"/>
          </w:tcPr>
          <w:p>
            <w:pPr>
              <w:spacing w:after="40" w:before="40"/>
            </w:pPr>
            <w:r>
              <w:rPr>
                <w:rFonts w:ascii="Times New Roman" w:cs="Times New Roman" w:eastAsia="Times New Roman" w:hAnsi="Times New Roman"/>
                <w:sz w:val="190"/>
                <w:szCs w:val="190"/>
              </w:rPr>
              <w:t xml:space="preserve">Open source</w:t>
            </w:r>
          </w:p>
        </w:tc>
        <w:tc>
          <w:tcPr>
            <w:tcW w:type="dxa" w:w="1200"/>
          </w:tcPr>
          <w:p>
            <w:pPr>
              <w:spacing w:after="40" w:before="40"/>
            </w:pPr>
            <w:r>
              <w:rPr>
                <w:rFonts w:ascii="Times New Roman" w:cs="Times New Roman" w:eastAsia="Times New Roman" w:hAnsi="Times New Roman"/>
                <w:sz w:val="190"/>
                <w:szCs w:val="190"/>
              </w:rPr>
              <w:t xml:space="preserve">Yes</w:t>
            </w:r>
          </w:p>
        </w:tc>
        <w:tc>
          <w:tcPr>
            <w:tcW w:type="dxa" w:w="1000"/>
          </w:tcPr>
          <w:p>
            <w:pPr>
              <w:spacing w:after="40" w:before="40"/>
            </w:pPr>
            <w:r>
              <w:rPr>
                <w:rFonts w:ascii="Times New Roman" w:cs="Times New Roman" w:eastAsia="Times New Roman" w:hAnsi="Times New Roman"/>
                <w:sz w:val="190"/>
                <w:szCs w:val="190"/>
              </w:rPr>
              <w:t xml:space="preserve">Yes</w:t>
            </w:r>
          </w:p>
        </w:tc>
        <w:tc>
          <w:tcPr>
            <w:tcW w:type="dxa" w:w="1100"/>
          </w:tcPr>
          <w:p>
            <w:pPr>
              <w:spacing w:after="40" w:before="40"/>
            </w:pPr>
            <w:r>
              <w:rPr>
                <w:rFonts w:ascii="Times New Roman" w:cs="Times New Roman" w:eastAsia="Times New Roman" w:hAnsi="Times New Roman"/>
                <w:sz w:val="190"/>
                <w:szCs w:val="190"/>
              </w:rPr>
              <w:t xml:space="preserve">Yes</w:t>
            </w:r>
          </w:p>
        </w:tc>
        <w:tc>
          <w:tcPr>
            <w:tcW w:type="dxa" w:w="1200"/>
          </w:tcPr>
          <w:p>
            <w:pPr>
              <w:spacing w:after="40" w:before="40"/>
            </w:pPr>
            <w:r>
              <w:rPr>
                <w:rFonts w:ascii="Times New Roman" w:cs="Times New Roman" w:eastAsia="Times New Roman" w:hAnsi="Times New Roman"/>
                <w:sz w:val="190"/>
                <w:szCs w:val="190"/>
              </w:rPr>
              <w:t xml:space="preserve">Yes</w:t>
            </w:r>
          </w:p>
        </w:tc>
        <w:tc>
          <w:tcPr>
            <w:tcW w:type="dxa" w:w="900"/>
          </w:tcPr>
          <w:p>
            <w:pPr>
              <w:spacing w:after="40" w:before="40"/>
            </w:pPr>
            <w:r>
              <w:rPr>
                <w:rFonts w:ascii="Times New Roman" w:cs="Times New Roman" w:eastAsia="Times New Roman" w:hAnsi="Times New Roman"/>
                <w:sz w:val="190"/>
                <w:szCs w:val="190"/>
              </w:rPr>
              <w:t xml:space="preserve">Yes</w:t>
            </w:r>
          </w:p>
        </w:tc>
        <w:tc>
          <w:tcPr>
            <w:tcW w:type="dxa" w:w="760"/>
          </w:tcPr>
          <w:p>
            <w:pPr>
              <w:spacing w:after="40" w:before="40"/>
            </w:pPr>
            <w:r>
              <w:rPr>
                <w:rFonts w:ascii="Times New Roman" w:cs="Times New Roman" w:eastAsia="Times New Roman" w:hAnsi="Times New Roman"/>
                <w:sz w:val="190"/>
                <w:szCs w:val="190"/>
              </w:rPr>
              <w:t xml:space="preserve">No</w:t>
            </w:r>
          </w:p>
        </w:tc>
      </w:tr>
    </w:tbl>
    <w:p>
      <w:pPr>
        <w:spacing w:after="120" w:before="0"/>
      </w:pPr>
    </w:p>
    <w:p>
      <w:pPr>
        <w:spacing w:after="120" w:before="0" w:line="276"/>
        <w:jc w:val="both"/>
      </w:pPr>
      <w:r>
        <w:rPr>
          <w:rFonts w:ascii="Times New Roman" w:cs="Times New Roman" w:eastAsia="Times New Roman" w:hAnsi="Times New Roman"/>
          <w:sz w:val="220"/>
          <w:szCs w:val="220"/>
        </w:rPr>
        <w:t xml:space="preserve">This paper makes seven primary contributions: (1) the first open-source platform to unify data acquisition, preprocessing, AI inference, foundation models, agent, InSAR, and visualization; (2) a production-grade preprocessing pipeline with three embedded bug-fixes that detect and repair silent failures; (3) a curated registry of 119 model architectures with standardised APIs; (4) the most comprehensive DINOv3 and Prithvi-EO-2.0 integration in any open-source geospatial platform; (5) an autonomous GeoAgent operating without an API key; (6) an InSAR chain accessible without SNAP or ISCE2; and (7) an interactive visualization layer with standalone HTML export.</w:t>
      </w:r>
    </w:p>
    <w:p>
      <w:pPr>
        <w:pStyle w:val="Heading1"/>
        <w:pBdr>
          <w:bottom w:val="single" w:color="1a56db" w:sz="6" w:space="4"/>
        </w:pBdr>
        <w:spacing w:after="120" w:before="280"/>
      </w:pPr>
      <w:r>
        <w:t xml:space="preserve">2. System Architecture</w:t>
      </w:r>
    </w:p>
    <w:p>
      <w:pPr>
        <w:spacing w:after="120" w:before="0" w:line="276"/>
        <w:jc w:val="both"/>
      </w:pPr>
      <w:r>
        <w:rPr>
          <w:rFonts w:ascii="Times New Roman" w:cs="Times New Roman" w:eastAsia="Times New Roman" w:hAnsi="Times New Roman"/>
          <w:sz w:val="220"/>
          <w:szCs w:val="220"/>
        </w:rPr>
        <w:t xml:space="preserve">PyGeoVision is organised into six vertical layers (Figure 1), each independently usable and collectively forming a complete Earth observation intelligence pipeline. The platform comprises 252 Python source files across 54 packages. All dependencies are optional: the core package installs without PyTorch, GDAL, or any heavy dependency via domain-specific extras (</w:t>
      </w:r>
      <w:r>
        <w:rPr>
          <w:rFonts w:ascii="Times New Roman" w:cs="Times New Roman" w:eastAsia="Times New Roman" w:hAnsi="Times New Roman"/>
          <w:i/>
          <w:iCs/>
          <w:sz w:val="220"/>
          <w:szCs w:val="220"/>
        </w:rPr>
        <w:t xml:space="preserve">geo, train, viz, insar, enterprise</w:t>
      </w:r>
      <w:r>
        <w:rPr>
          <w:rFonts w:ascii="Times New Roman" w:cs="Times New Roman" w:eastAsia="Times New Roman" w:hAnsi="Times New Roman"/>
          <w:sz w:val="220"/>
          <w:szCs w:val="220"/>
        </w:rPr>
        <w:t xml:space="preserve">).</w:t>
      </w:r>
    </w:p>
    <w:p>
      <w:pPr>
        <w:spacing w:after="80" w:before="24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290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190"/>
          <w:szCs w:val="190"/>
        </w:rPr>
        <w:t xml:space="preserve">Figure 1. PyGeoVision v2.0.9 six-layer system architecture. Each layer exposes an independent API; collectively they form a complete Earth observation intelligence pipeline.</w:t>
      </w:r>
    </w:p>
    <w:p>
      <w:pPr>
        <w:pStyle w:val="Heading2"/>
        <w:spacing w:after="80" w:before="200"/>
      </w:pPr>
      <w:r>
        <w:t xml:space="preserve">2.1 Data Acquisition Layer</w:t>
      </w:r>
    </w:p>
    <w:p>
      <w:pPr>
        <w:spacing w:after="120" w:before="0" w:line="276"/>
        <w:jc w:val="both"/>
      </w:pPr>
      <w:r>
        <w:rPr>
          <w:rFonts w:ascii="Times New Roman" w:cs="Times New Roman" w:eastAsia="Times New Roman" w:hAnsi="Times New Roman"/>
          <w:sz w:val="220"/>
          <w:szCs w:val="220"/>
        </w:rPr>
        <w:t xml:space="preserve">Built on PyGeoFetch </w:t>
      </w:r>
      <w:r>
        <w:rPr>
          <w:rFonts w:ascii="Times New Roman" w:cs="Times New Roman" w:eastAsia="Times New Roman" w:hAnsi="Times New Roman"/>
          <w:sz w:val="220"/>
          <w:szCs w:val="220"/>
          <w:vertAlign w:val="superscript"/>
        </w:rPr>
        <w:t xml:space="preserve">[10]</w:t>
      </w:r>
      <w:r>
        <w:rPr>
          <w:rFonts w:ascii="Times New Roman" w:cs="Times New Roman" w:eastAsia="Times New Roman" w:hAnsi="Times New Roman"/>
          <w:sz w:val="220"/>
          <w:szCs w:val="220"/>
        </w:rPr>
        <w:t xml:space="preserve">, the acquisition layer provides a unified STAC-compliant interface to 22+ satellite data providers. A single </w:t>
      </w:r>
      <w:r>
        <w:rPr>
          <w:rFonts w:ascii="Courier New" w:cs="Courier New" w:eastAsia="Courier New" w:hAnsi="Courier New"/>
          <w:sz w:val="200"/>
          <w:szCs w:val="200"/>
        </w:rPr>
        <w:t xml:space="preserve">client.search()</w:t>
      </w:r>
      <w:r>
        <w:rPr>
          <w:rFonts w:ascii="Times New Roman" w:cs="Times New Roman" w:eastAsia="Times New Roman" w:hAnsi="Times New Roman"/>
          <w:sz w:val="220"/>
          <w:szCs w:val="220"/>
        </w:rPr>
        <w:t xml:space="preserve"> call federates queries across all configured providers and returns normalised metadata. Parallel downloads include SHA-256 checksum verification and resume-from-interruption support. A configurable post-processing chain (reproject, cloud optimised GeoTIFF, spectral index computation) runs automatically on completion.</w:t>
      </w:r>
    </w:p>
    <w:p>
      <w:pPr>
        <w:pStyle w:val="Heading2"/>
        <w:spacing w:after="80" w:before="200"/>
      </w:pPr>
      <w:r>
        <w:t xml:space="preserve">2.2 The Three Production Bug-Fixes</w:t>
      </w:r>
    </w:p>
    <w:p>
      <w:pPr>
        <w:spacing w:after="120" w:before="0" w:line="276"/>
        <w:jc w:val="both"/>
      </w:pPr>
      <w:r>
        <w:rPr>
          <w:rFonts w:ascii="Times New Roman" w:cs="Times New Roman" w:eastAsia="Times New Roman" w:hAnsi="Times New Roman"/>
          <w:sz w:val="220"/>
          <w:szCs w:val="220"/>
        </w:rPr>
        <w:t xml:space="preserve">Three preprocessing errors cause silent incorrect outputs without raising exceptions — making them particularly dangerous in production deployments where no error is reported but all downstream results are wrong.</w:t>
      </w:r>
    </w:p>
    <w:p>
      <w:pPr>
        <w:spacing w:after="120" w:before="0" w:line="276"/>
        <w:jc w:val="both"/>
      </w:pPr>
      <w:r>
        <w:rPr>
          <w:rFonts w:ascii="Times New Roman" w:cs="Times New Roman" w:eastAsia="Times New Roman" w:hAnsi="Times New Roman"/>
          <w:b/>
          <w:bCs/>
          <w:sz w:val="220"/>
          <w:szCs w:val="220"/>
        </w:rPr>
        <w:t xml:space="preserve">BUG 1 — CRS identity-transform corruption.</w:t>
      </w:r>
      <w:r>
        <w:rPr>
          <w:rFonts w:ascii="Times New Roman" w:cs="Times New Roman" w:eastAsia="Times New Roman" w:hAnsi="Times New Roman"/>
          <w:sz w:val="220"/>
          <w:szCs w:val="220"/>
        </w:rPr>
        <w:t xml:space="preserve"> After reprojecting with PyGeoFetch, some scenes retain pixel_width = 1.0 and origin = (0, 0) in a metre-unit CRS. This silent corruption places model outputs hundreds of kilometres from the correct geographic location. The function </w:t>
      </w:r>
      <w:r>
        <w:rPr>
          <w:rFonts w:ascii="Courier New" w:cs="Courier New" w:eastAsia="Courier New" w:hAnsi="Courier New"/>
          <w:sz w:val="200"/>
          <w:szCs w:val="200"/>
        </w:rPr>
        <w:t xml:space="preserve">validate_sar_georeference()</w:t>
      </w:r>
      <w:r>
        <w:rPr>
          <w:rFonts w:ascii="Times New Roman" w:cs="Times New Roman" w:eastAsia="Times New Roman" w:hAnsi="Times New Roman"/>
          <w:sz w:val="220"/>
          <w:szCs w:val="220"/>
        </w:rPr>
        <w:t xml:space="preserve"> detects this condition and recovers the correct transform from the pre-reproject file.</w:t>
      </w:r>
    </w:p>
    <w:p>
      <w:pPr>
        <w:spacing w:after="120" w:before="0" w:line="276"/>
        <w:jc w:val="both"/>
      </w:pPr>
      <w:r>
        <w:rPr>
          <w:rFonts w:ascii="Times New Roman" w:cs="Times New Roman" w:eastAsia="Times New Roman" w:hAnsi="Times New Roman"/>
          <w:b/>
          <w:bCs/>
          <w:sz w:val="220"/>
          <w:szCs w:val="220"/>
        </w:rPr>
        <w:t xml:space="preserve">BUG 2 — Partial download acceptance.</w:t>
      </w:r>
      <w:r>
        <w:rPr>
          <w:rFonts w:ascii="Times New Roman" w:cs="Times New Roman" w:eastAsia="Times New Roman" w:hAnsi="Times New Roman"/>
          <w:sz w:val="220"/>
          <w:szCs w:val="220"/>
        </w:rPr>
        <w:t xml:space="preserve"> Chunked HTTP downloads can produce a syntactically valid but spatially incomplete GeoTIFF when interrupted mid-file. Without verification, the subsequent despeckle step processes a file with no valid pixel data and produces garbage output silently. The function </w:t>
      </w:r>
      <w:r>
        <w:rPr>
          <w:rFonts w:ascii="Courier New" w:cs="Courier New" w:eastAsia="Courier New" w:hAnsi="Courier New"/>
          <w:sz w:val="200"/>
          <w:szCs w:val="200"/>
        </w:rPr>
        <w:t xml:space="preserve">verify_sar_downloads()</w:t>
      </w:r>
      <w:r>
        <w:rPr>
          <w:rFonts w:ascii="Times New Roman" w:cs="Times New Roman" w:eastAsia="Times New Roman" w:hAnsi="Times New Roman"/>
          <w:sz w:val="220"/>
          <w:szCs w:val="220"/>
        </w:rPr>
        <w:t xml:space="preserve"> performs a tile-read test that catches incomplete files before any processing step.</w:t>
      </w:r>
    </w:p>
    <w:p>
      <w:pPr>
        <w:spacing w:after="120" w:before="0" w:line="276"/>
        <w:jc w:val="both"/>
      </w:pPr>
      <w:r>
        <w:rPr>
          <w:rFonts w:ascii="Times New Roman" w:cs="Times New Roman" w:eastAsia="Times New Roman" w:hAnsi="Times New Roman"/>
          <w:b/>
          <w:bCs/>
          <w:sz w:val="220"/>
          <w:szCs w:val="220"/>
        </w:rPr>
        <w:t xml:space="preserve">BUG 3 — WGS84 bbox vs. UTM raster mismatch.</w:t>
      </w:r>
      <w:r>
        <w:rPr>
          <w:rFonts w:ascii="Times New Roman" w:cs="Times New Roman" w:eastAsia="Times New Roman" w:hAnsi="Times New Roman"/>
          <w:sz w:val="220"/>
          <w:szCs w:val="220"/>
        </w:rPr>
        <w:t xml:space="preserve"> Passing a WGS84 degree-unit bounding box to </w:t>
      </w:r>
      <w:r>
        <w:rPr>
          <w:rFonts w:ascii="Courier New" w:cs="Courier New" w:eastAsia="Courier New" w:hAnsi="Courier New"/>
          <w:sz w:val="200"/>
          <w:szCs w:val="200"/>
        </w:rPr>
        <w:t xml:space="preserve">rasterio.mask</w:t>
      </w:r>
      <w:r>
        <w:rPr>
          <w:rFonts w:ascii="Times New Roman" w:cs="Times New Roman" w:eastAsia="Times New Roman" w:hAnsi="Times New Roman"/>
          <w:sz w:val="220"/>
          <w:szCs w:val="220"/>
        </w:rPr>
        <w:t xml:space="preserve"> applied to a UTM metre-unit raster silently produces an empty output because degree coordinates do not overlap metre coordinates. The function </w:t>
      </w:r>
      <w:r>
        <w:rPr>
          <w:rFonts w:ascii="Courier New" w:cs="Courier New" w:eastAsia="Courier New" w:hAnsi="Courier New"/>
          <w:sz w:val="200"/>
          <w:szCs w:val="200"/>
        </w:rPr>
        <w:t xml:space="preserve">clip_sar_to_bbox()</w:t>
      </w:r>
      <w:r>
        <w:rPr>
          <w:rFonts w:ascii="Times New Roman" w:cs="Times New Roman" w:eastAsia="Times New Roman" w:hAnsi="Times New Roman"/>
          <w:sz w:val="220"/>
          <w:szCs w:val="220"/>
        </w:rPr>
        <w:t xml:space="preserve"> detects the CRS mismatch and automatically reprojects the bbox before clipping.</w:t>
      </w:r>
    </w:p>
    <w:p>
      <w:pPr>
        <w:spacing w:after="80" w:before="24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190"/>
          <w:szCs w:val="190"/>
        </w:rPr>
        <w:t xml:space="preserve">Figure 6. Corrected SAR preprocessing pipeline (S0–S9) with three embedded production bug-fixes (green boxes). Despeckle filtering (S6) must precede dB conversion (S7) because speckle statistics are Gamma-distributed in linear power, not in dB.</w:t>
      </w:r>
    </w:p>
    <w:p>
      <w:pPr>
        <w:pStyle w:val="Heading2"/>
        <w:spacing w:after="80" w:before="200"/>
      </w:pPr>
      <w:r>
        <w:t xml:space="preserve">2.3 AI Layer and Model Registry</w:t>
      </w:r>
    </w:p>
    <w:p>
      <w:pPr>
        <w:spacing w:after="120" w:before="0" w:line="276"/>
        <w:jc w:val="both"/>
      </w:pPr>
      <w:r>
        <w:rPr>
          <w:rFonts w:ascii="Times New Roman" w:cs="Times New Roman" w:eastAsia="Times New Roman" w:hAnsi="Times New Roman"/>
          <w:sz w:val="220"/>
          <w:szCs w:val="220"/>
        </w:rPr>
        <w:t xml:space="preserve">The model registry provides 119 architectures via a factory pattern (</w:t>
      </w:r>
      <w:r>
        <w:rPr>
          <w:rFonts w:ascii="Courier New" w:cs="Courier New" w:eastAsia="Courier New" w:hAnsi="Courier New"/>
          <w:sz w:val="200"/>
          <w:szCs w:val="200"/>
        </w:rPr>
        <w:t xml:space="preserve">get_model(name, **kwargs)</w:t>
      </w:r>
      <w:r>
        <w:rPr>
          <w:rFonts w:ascii="Times New Roman" w:cs="Times New Roman" w:eastAsia="Times New Roman" w:hAnsi="Times New Roman"/>
          <w:sz w:val="220"/>
          <w:szCs w:val="220"/>
        </w:rPr>
        <w:t xml:space="preserve">) returning standardised </w:t>
      </w:r>
      <w:r>
        <w:rPr>
          <w:rFonts w:ascii="Courier New" w:cs="Courier New" w:eastAsia="Courier New" w:hAnsi="Courier New"/>
          <w:sz w:val="200"/>
          <w:szCs w:val="200"/>
        </w:rPr>
        <w:t xml:space="preserve">nn.Module</w:t>
      </w:r>
      <w:r>
        <w:rPr>
          <w:rFonts w:ascii="Times New Roman" w:cs="Times New Roman" w:eastAsia="Times New Roman" w:hAnsi="Times New Roman"/>
          <w:sz w:val="220"/>
          <w:szCs w:val="220"/>
        </w:rPr>
        <w:t xml:space="preserve"> instances that accept tensors of shape (B, C, H, W). </w:t>
      </w:r>
      <w:r>
        <w:rPr>
          <w:rFonts w:ascii="Courier New" w:cs="Courier New" w:eastAsia="Courier New" w:hAnsi="Courier New"/>
          <w:sz w:val="200"/>
          <w:szCs w:val="200"/>
        </w:rPr>
        <w:t xml:space="preserve">GeoTrainer</w:t>
      </w:r>
      <w:r>
        <w:rPr>
          <w:rFonts w:ascii="Times New Roman" w:cs="Times New Roman" w:eastAsia="Times New Roman" w:hAnsi="Times New Roman"/>
          <w:sz w:val="220"/>
          <w:szCs w:val="220"/>
        </w:rPr>
        <w:t xml:space="preserve"> provides distributed multi-GPU training with mixed precision (FP16/BF16), ten geospatially motivated loss functions (FocalDice, Tversky, Boundary, Lovász), and Optuna hyperparameter optimisation. </w:t>
      </w:r>
      <w:r>
        <w:rPr>
          <w:rFonts w:ascii="Courier New" w:cs="Courier New" w:eastAsia="Courier New" w:hAnsi="Courier New"/>
          <w:sz w:val="200"/>
          <w:szCs w:val="200"/>
        </w:rPr>
        <w:t xml:space="preserve">TiledInference</w:t>
      </w:r>
      <w:r>
        <w:rPr>
          <w:rFonts w:ascii="Times New Roman" w:cs="Times New Roman" w:eastAsia="Times New Roman" w:hAnsi="Times New Roman"/>
          <w:sz w:val="220"/>
          <w:szCs w:val="220"/>
        </w:rPr>
        <w:t xml:space="preserve"> handles scenes larger than GPU memory through sliding-window tiling with Gaussian blending at boundaries to eliminate seam artefacts.</w:t>
      </w:r>
    </w:p>
    <w:p>
      <w:pPr>
        <w:spacing w:after="120" w:before="0"/>
      </w:pPr>
    </w:p>
    <w:p>
      <w:pPr>
        <w:spacing w:after="80" w:before="120"/>
      </w:pPr>
      <w:r>
        <w:rPr>
          <w:rFonts w:ascii="Times New Roman" w:cs="Times New Roman" w:eastAsia="Times New Roman" w:hAnsi="Times New Roman"/>
          <w:i/>
          <w:iCs/>
          <w:sz w:val="190"/>
          <w:szCs w:val="190"/>
        </w:rPr>
        <w:t xml:space="preserve">Table 2. AI model categories in PyGeoVision.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rPr>
          <w:tblHeader/>
        </w:trPr>
        <w:tc>
          <w:tcPr>
            <w:tcW w:type="dxa" w:w="3000"/>
            <w:shd w:fill="dbeafe" w:val="clear"/>
          </w:tcPr>
          <w:p>
            <w:pPr>
              <w:spacing w:after="60" w:before="60"/>
            </w:pPr>
            <w:r>
              <w:rPr>
                <w:rFonts w:ascii="Times New Roman" w:cs="Times New Roman" w:eastAsia="Times New Roman" w:hAnsi="Times New Roman"/>
                <w:b/>
                <w:bCs/>
                <w:sz w:val="190"/>
                <w:szCs w:val="190"/>
              </w:rPr>
              <w:t xml:space="preserve">Category</w:t>
            </w:r>
          </w:p>
        </w:tc>
        <w:tc>
          <w:tcPr>
            <w:tcW w:type="dxa" w:w="600"/>
            <w:shd w:fill="dbeafe" w:val="clear"/>
          </w:tcPr>
          <w:p>
            <w:pPr>
              <w:spacing w:after="60" w:before="60"/>
            </w:pPr>
            <w:r>
              <w:rPr>
                <w:rFonts w:ascii="Times New Roman" w:cs="Times New Roman" w:eastAsia="Times New Roman" w:hAnsi="Times New Roman"/>
                <w:b/>
                <w:bCs/>
                <w:sz w:val="190"/>
                <w:szCs w:val="190"/>
              </w:rPr>
              <w:t xml:space="preserve">Count</w:t>
            </w:r>
          </w:p>
        </w:tc>
        <w:tc>
          <w:tcPr>
            <w:tcW w:type="dxa" w:w="5760"/>
            <w:shd w:fill="dbeafe" w:val="clear"/>
          </w:tcPr>
          <w:p>
            <w:pPr>
              <w:spacing w:after="60" w:before="60"/>
            </w:pPr>
            <w:r>
              <w:rPr>
                <w:rFonts w:ascii="Times New Roman" w:cs="Times New Roman" w:eastAsia="Times New Roman" w:hAnsi="Times New Roman"/>
                <w:b/>
                <w:bCs/>
                <w:sz w:val="190"/>
                <w:szCs w:val="190"/>
              </w:rPr>
              <w:t xml:space="preserve">Representative architectures</w:t>
            </w:r>
          </w:p>
        </w:tc>
      </w:tr>
      <w:tr>
        <w:tc>
          <w:tcPr>
            <w:tcW w:type="dxa" w:w="3000"/>
          </w:tcPr>
          <w:p>
            <w:pPr>
              <w:spacing w:after="40" w:before="40"/>
            </w:pPr>
            <w:r>
              <w:rPr>
                <w:rFonts w:ascii="Times New Roman" w:cs="Times New Roman" w:eastAsia="Times New Roman" w:hAnsi="Times New Roman"/>
                <w:sz w:val="190"/>
                <w:szCs w:val="190"/>
              </w:rPr>
              <w:t xml:space="preserve">Semantic segmentation</w:t>
            </w:r>
          </w:p>
        </w:tc>
        <w:tc>
          <w:tcPr>
            <w:tcW w:type="dxa" w:w="600"/>
          </w:tcPr>
          <w:p>
            <w:pPr>
              <w:spacing w:after="40" w:before="40"/>
            </w:pPr>
            <w:r>
              <w:rPr>
                <w:rFonts w:ascii="Times New Roman" w:cs="Times New Roman" w:eastAsia="Times New Roman" w:hAnsi="Times New Roman"/>
                <w:sz w:val="190"/>
                <w:szCs w:val="190"/>
              </w:rPr>
              <w:t xml:space="preserve">34</w:t>
            </w:r>
          </w:p>
        </w:tc>
        <w:tc>
          <w:tcPr>
            <w:tcW w:type="dxa" w:w="5760"/>
          </w:tcPr>
          <w:p>
            <w:pPr>
              <w:spacing w:after="40" w:before="40"/>
            </w:pPr>
            <w:r>
              <w:rPr>
                <w:rFonts w:ascii="Times New Roman" w:cs="Times New Roman" w:eastAsia="Times New Roman" w:hAnsi="Times New Roman"/>
                <w:sz w:val="190"/>
                <w:szCs w:val="190"/>
              </w:rPr>
              <w:t xml:space="preserve">U-Net, SegFormer, DeepLabV3+, UperNet</w:t>
            </w:r>
          </w:p>
        </w:tc>
      </w:tr>
      <w:tr>
        <w:tc>
          <w:tcPr>
            <w:tcW w:type="dxa" w:w="3000"/>
          </w:tcPr>
          <w:p>
            <w:pPr>
              <w:spacing w:after="40" w:before="40"/>
            </w:pPr>
            <w:r>
              <w:rPr>
                <w:rFonts w:ascii="Times New Roman" w:cs="Times New Roman" w:eastAsia="Times New Roman" w:hAnsi="Times New Roman"/>
                <w:sz w:val="190"/>
                <w:szCs w:val="190"/>
              </w:rPr>
              <w:t xml:space="preserve">Scene classification</w:t>
            </w:r>
          </w:p>
        </w:tc>
        <w:tc>
          <w:tcPr>
            <w:tcW w:type="dxa" w:w="600"/>
          </w:tcPr>
          <w:p>
            <w:pPr>
              <w:spacing w:after="40" w:before="40"/>
            </w:pPr>
            <w:r>
              <w:rPr>
                <w:rFonts w:ascii="Times New Roman" w:cs="Times New Roman" w:eastAsia="Times New Roman" w:hAnsi="Times New Roman"/>
                <w:sz w:val="190"/>
                <w:szCs w:val="190"/>
              </w:rPr>
              <w:t xml:space="preserve">16</w:t>
            </w:r>
          </w:p>
        </w:tc>
        <w:tc>
          <w:tcPr>
            <w:tcW w:type="dxa" w:w="5760"/>
          </w:tcPr>
          <w:p>
            <w:pPr>
              <w:spacing w:after="40" w:before="40"/>
            </w:pPr>
            <w:r>
              <w:rPr>
                <w:rFonts w:ascii="Times New Roman" w:cs="Times New Roman" w:eastAsia="Times New Roman" w:hAnsi="Times New Roman"/>
                <w:sz w:val="190"/>
                <w:szCs w:val="190"/>
              </w:rPr>
              <w:t xml:space="preserve">ResNet, ViT, ConvNeXt, Swin</w:t>
            </w:r>
          </w:p>
        </w:tc>
      </w:tr>
      <w:tr>
        <w:tc>
          <w:tcPr>
            <w:tcW w:type="dxa" w:w="3000"/>
          </w:tcPr>
          <w:p>
            <w:pPr>
              <w:spacing w:after="40" w:before="40"/>
            </w:pPr>
            <w:r>
              <w:rPr>
                <w:rFonts w:ascii="Times New Roman" w:cs="Times New Roman" w:eastAsia="Times New Roman" w:hAnsi="Times New Roman"/>
                <w:sz w:val="190"/>
                <w:szCs w:val="190"/>
              </w:rPr>
              <w:t xml:space="preserve">Foundation / VLM</w:t>
            </w:r>
          </w:p>
        </w:tc>
        <w:tc>
          <w:tcPr>
            <w:tcW w:type="dxa" w:w="600"/>
          </w:tcPr>
          <w:p>
            <w:pPr>
              <w:spacing w:after="40" w:before="40"/>
            </w:pPr>
            <w:r>
              <w:rPr>
                <w:rFonts w:ascii="Times New Roman" w:cs="Times New Roman" w:eastAsia="Times New Roman" w:hAnsi="Times New Roman"/>
                <w:sz w:val="190"/>
                <w:szCs w:val="190"/>
              </w:rPr>
              <w:t xml:space="preserve">15</w:t>
            </w:r>
          </w:p>
        </w:tc>
        <w:tc>
          <w:tcPr>
            <w:tcW w:type="dxa" w:w="5760"/>
          </w:tcPr>
          <w:p>
            <w:pPr>
              <w:spacing w:after="40" w:before="40"/>
            </w:pPr>
            <w:r>
              <w:rPr>
                <w:rFonts w:ascii="Times New Roman" w:cs="Times New Roman" w:eastAsia="Times New Roman" w:hAnsi="Times New Roman"/>
                <w:sz w:val="190"/>
                <w:szCs w:val="190"/>
              </w:rPr>
              <w:t xml:space="preserve">DINOv3, Prithvi-EO-2.0, SAM, CLIP</w:t>
            </w:r>
          </w:p>
        </w:tc>
      </w:tr>
      <w:tr>
        <w:tc>
          <w:tcPr>
            <w:tcW w:type="dxa" w:w="3000"/>
          </w:tcPr>
          <w:p>
            <w:pPr>
              <w:spacing w:after="40" w:before="40"/>
            </w:pPr>
            <w:r>
              <w:rPr>
                <w:rFonts w:ascii="Times New Roman" w:cs="Times New Roman" w:eastAsia="Times New Roman" w:hAnsi="Times New Roman"/>
                <w:sz w:val="190"/>
                <w:szCs w:val="190"/>
              </w:rPr>
              <w:t xml:space="preserve">Object detection</w:t>
            </w:r>
          </w:p>
        </w:tc>
        <w:tc>
          <w:tcPr>
            <w:tcW w:type="dxa" w:w="600"/>
          </w:tcPr>
          <w:p>
            <w:pPr>
              <w:spacing w:after="40" w:before="40"/>
            </w:pPr>
            <w:r>
              <w:rPr>
                <w:rFonts w:ascii="Times New Roman" w:cs="Times New Roman" w:eastAsia="Times New Roman" w:hAnsi="Times New Roman"/>
                <w:sz w:val="190"/>
                <w:szCs w:val="190"/>
              </w:rPr>
              <w:t xml:space="preserve">14</w:t>
            </w:r>
          </w:p>
        </w:tc>
        <w:tc>
          <w:tcPr>
            <w:tcW w:type="dxa" w:w="5760"/>
          </w:tcPr>
          <w:p>
            <w:pPr>
              <w:spacing w:after="40" w:before="40"/>
            </w:pPr>
            <w:r>
              <w:rPr>
                <w:rFonts w:ascii="Times New Roman" w:cs="Times New Roman" w:eastAsia="Times New Roman" w:hAnsi="Times New Roman"/>
                <w:sz w:val="190"/>
                <w:szCs w:val="190"/>
              </w:rPr>
              <w:t xml:space="preserve">YOLOv8, RF-DETR, DINO</w:t>
            </w:r>
          </w:p>
        </w:tc>
      </w:tr>
      <w:tr>
        <w:tc>
          <w:tcPr>
            <w:tcW w:type="dxa" w:w="3000"/>
          </w:tcPr>
          <w:p>
            <w:pPr>
              <w:spacing w:after="40" w:before="40"/>
            </w:pPr>
            <w:r>
              <w:rPr>
                <w:rFonts w:ascii="Times New Roman" w:cs="Times New Roman" w:eastAsia="Times New Roman" w:hAnsi="Times New Roman"/>
                <w:sz w:val="190"/>
                <w:szCs w:val="190"/>
              </w:rPr>
              <w:t xml:space="preserve">Change detection</w:t>
            </w:r>
          </w:p>
        </w:tc>
        <w:tc>
          <w:tcPr>
            <w:tcW w:type="dxa" w:w="600"/>
          </w:tcPr>
          <w:p>
            <w:pPr>
              <w:spacing w:after="40" w:before="40"/>
            </w:pPr>
            <w:r>
              <w:rPr>
                <w:rFonts w:ascii="Times New Roman" w:cs="Times New Roman" w:eastAsia="Times New Roman" w:hAnsi="Times New Roman"/>
                <w:sz w:val="190"/>
                <w:szCs w:val="190"/>
              </w:rPr>
              <w:t xml:space="preserve">12</w:t>
            </w:r>
          </w:p>
        </w:tc>
        <w:tc>
          <w:tcPr>
            <w:tcW w:type="dxa" w:w="5760"/>
          </w:tcPr>
          <w:p>
            <w:pPr>
              <w:spacing w:after="40" w:before="40"/>
            </w:pPr>
            <w:r>
              <w:rPr>
                <w:rFonts w:ascii="Times New Roman" w:cs="Times New Roman" w:eastAsia="Times New Roman" w:hAnsi="Times New Roman"/>
                <w:sz w:val="190"/>
                <w:szCs w:val="190"/>
              </w:rPr>
              <w:t xml:space="preserve">ChangeFormer, BIT, ChangeSTAR</w:t>
            </w:r>
          </w:p>
        </w:tc>
      </w:tr>
      <w:tr>
        <w:tc>
          <w:tcPr>
            <w:tcW w:type="dxa" w:w="3000"/>
          </w:tcPr>
          <w:p>
            <w:pPr>
              <w:spacing w:after="40" w:before="40"/>
            </w:pPr>
            <w:r>
              <w:rPr>
                <w:rFonts w:ascii="Times New Roman" w:cs="Times New Roman" w:eastAsia="Times New Roman" w:hAnsi="Times New Roman"/>
                <w:sz w:val="190"/>
                <w:szCs w:val="190"/>
              </w:rPr>
              <w:t xml:space="preserve">SAR specialised</w:t>
            </w:r>
          </w:p>
        </w:tc>
        <w:tc>
          <w:tcPr>
            <w:tcW w:type="dxa" w:w="600"/>
          </w:tcPr>
          <w:p>
            <w:pPr>
              <w:spacing w:after="40" w:before="40"/>
            </w:pPr>
            <w:r>
              <w:rPr>
                <w:rFonts w:ascii="Times New Roman" w:cs="Times New Roman" w:eastAsia="Times New Roman" w:hAnsi="Times New Roman"/>
                <w:sz w:val="190"/>
                <w:szCs w:val="190"/>
              </w:rPr>
              <w:t xml:space="preserve">12</w:t>
            </w:r>
          </w:p>
        </w:tc>
        <w:tc>
          <w:tcPr>
            <w:tcW w:type="dxa" w:w="5760"/>
          </w:tcPr>
          <w:p>
            <w:pPr>
              <w:spacing w:after="40" w:before="40"/>
            </w:pPr>
            <w:r>
              <w:rPr>
                <w:rFonts w:ascii="Times New Roman" w:cs="Times New Roman" w:eastAsia="Times New Roman" w:hAnsi="Times New Roman"/>
                <w:sz w:val="190"/>
                <w:szCs w:val="190"/>
              </w:rPr>
              <w:t xml:space="preserve">SARPrithvi, SAR-U-Net</w:t>
            </w:r>
          </w:p>
        </w:tc>
      </w:tr>
      <w:tr>
        <w:tc>
          <w:tcPr>
            <w:tcW w:type="dxa" w:w="3000"/>
          </w:tcPr>
          <w:p>
            <w:pPr>
              <w:spacing w:after="40" w:before="40"/>
            </w:pPr>
            <w:r>
              <w:rPr>
                <w:rFonts w:ascii="Times New Roman" w:cs="Times New Roman" w:eastAsia="Times New Roman" w:hAnsi="Times New Roman"/>
                <w:sz w:val="190"/>
                <w:szCs w:val="190"/>
              </w:rPr>
              <w:t xml:space="preserve">Pixel regression</w:t>
            </w:r>
          </w:p>
        </w:tc>
        <w:tc>
          <w:tcPr>
            <w:tcW w:type="dxa" w:w="600"/>
          </w:tcPr>
          <w:p>
            <w:pPr>
              <w:spacing w:after="40" w:before="40"/>
            </w:pPr>
            <w:r>
              <w:rPr>
                <w:rFonts w:ascii="Times New Roman" w:cs="Times New Roman" w:eastAsia="Times New Roman" w:hAnsi="Times New Roman"/>
                <w:sz w:val="190"/>
                <w:szCs w:val="190"/>
              </w:rPr>
              <w:t xml:space="preserve">8</w:t>
            </w:r>
          </w:p>
        </w:tc>
        <w:tc>
          <w:tcPr>
            <w:tcW w:type="dxa" w:w="5760"/>
          </w:tcPr>
          <w:p>
            <w:pPr>
              <w:spacing w:after="40" w:before="40"/>
            </w:pPr>
            <w:r>
              <w:rPr>
                <w:rFonts w:ascii="Times New Roman" w:cs="Times New Roman" w:eastAsia="Times New Roman" w:hAnsi="Times New Roman"/>
                <w:sz w:val="190"/>
                <w:szCs w:val="190"/>
              </w:rPr>
              <w:t xml:space="preserve">U-Net Regressor, LSTM</w:t>
            </w:r>
          </w:p>
        </w:tc>
      </w:tr>
      <w:tr>
        <w:tc>
          <w:tcPr>
            <w:tcW w:type="dxa" w:w="3000"/>
          </w:tcPr>
          <w:p>
            <w:pPr>
              <w:spacing w:after="40" w:before="40"/>
            </w:pPr>
            <w:r>
              <w:rPr>
                <w:rFonts w:ascii="Times New Roman" w:cs="Times New Roman" w:eastAsia="Times New Roman" w:hAnsi="Times New Roman"/>
                <w:sz w:val="190"/>
                <w:szCs w:val="190"/>
              </w:rPr>
              <w:t xml:space="preserve">Instance segmentation</w:t>
            </w:r>
          </w:p>
        </w:tc>
        <w:tc>
          <w:tcPr>
            <w:tcW w:type="dxa" w:w="600"/>
          </w:tcPr>
          <w:p>
            <w:pPr>
              <w:spacing w:after="40" w:before="40"/>
            </w:pPr>
            <w:r>
              <w:rPr>
                <w:rFonts w:ascii="Times New Roman" w:cs="Times New Roman" w:eastAsia="Times New Roman" w:hAnsi="Times New Roman"/>
                <w:sz w:val="190"/>
                <w:szCs w:val="190"/>
              </w:rPr>
              <w:t xml:space="preserve">8</w:t>
            </w:r>
          </w:p>
        </w:tc>
        <w:tc>
          <w:tcPr>
            <w:tcW w:type="dxa" w:w="5760"/>
          </w:tcPr>
          <w:p>
            <w:pPr>
              <w:spacing w:after="40" w:before="40"/>
            </w:pPr>
            <w:r>
              <w:rPr>
                <w:rFonts w:ascii="Times New Roman" w:cs="Times New Roman" w:eastAsia="Times New Roman" w:hAnsi="Times New Roman"/>
                <w:sz w:val="190"/>
                <w:szCs w:val="190"/>
              </w:rPr>
              <w:t xml:space="preserve">Mask R-CNN, SOLOv2</w:t>
            </w:r>
          </w:p>
        </w:tc>
      </w:tr>
    </w:tbl>
    <w:p>
      <w:pPr>
        <w:pStyle w:val="Heading2"/>
        <w:spacing w:after="80" w:before="200"/>
      </w:pPr>
      <w:r>
        <w:t xml:space="preserve">2.4 Foundation Model Integration</w:t>
      </w:r>
    </w:p>
    <w:p>
      <w:pPr>
        <w:spacing w:after="120" w:before="0" w:line="276"/>
        <w:jc w:val="both"/>
      </w:pPr>
      <w:r>
        <w:rPr>
          <w:rFonts w:ascii="Times New Roman" w:cs="Times New Roman" w:eastAsia="Times New Roman" w:hAnsi="Times New Roman"/>
          <w:b/>
          <w:bCs/>
          <w:sz w:val="220"/>
          <w:szCs w:val="220"/>
        </w:rPr>
        <w:t xml:space="preserve">DINOv3 </w:t>
      </w:r>
      <w:r>
        <w:rPr>
          <w:rFonts w:ascii="Times New Roman" w:cs="Times New Roman" w:eastAsia="Times New Roman" w:hAnsi="Times New Roman"/>
          <w:sz w:val="220"/>
          <w:szCs w:val="220"/>
          <w:vertAlign w:val="superscript"/>
        </w:rPr>
        <w:t xml:space="preserve">[5]</w:t>
      </w:r>
      <w:r>
        <w:rPr>
          <w:rFonts w:ascii="Times New Roman" w:cs="Times New Roman" w:eastAsia="Times New Roman" w:hAnsi="Times New Roman"/>
          <w:sz w:val="220"/>
          <w:szCs w:val="220"/>
        </w:rPr>
        <w:t xml:space="preserve"> is integrated across 12 configuration variants (ViT-S/B/L/G/7B and ConvNeXt) pre-trained on both the LVD-1689M general image collection and the SAT-493M satellite-specific dataset, exposing six task-specific heads: </w:t>
      </w:r>
      <w:r>
        <w:rPr>
          <w:rFonts w:ascii="Times New Roman" w:cs="Times New Roman" w:eastAsia="Times New Roman" w:hAnsi="Times New Roman"/>
          <w:i/>
          <w:iCs/>
          <w:sz w:val="220"/>
          <w:szCs w:val="220"/>
        </w:rPr>
        <w:t xml:space="preserve">classifier, depther, detector, segmentor, dino.txt</w:t>
      </w:r>
      <w:r>
        <w:rPr>
          <w:rFonts w:ascii="Times New Roman" w:cs="Times New Roman" w:eastAsia="Times New Roman" w:hAnsi="Times New Roman"/>
          <w:sz w:val="220"/>
          <w:szCs w:val="220"/>
        </w:rPr>
        <w:t xml:space="preserve"> (text-image embedding), and </w:t>
      </w:r>
      <w:r>
        <w:rPr>
          <w:rFonts w:ascii="Times New Roman" w:cs="Times New Roman" w:eastAsia="Times New Roman" w:hAnsi="Times New Roman"/>
          <w:i/>
          <w:iCs/>
          <w:sz w:val="220"/>
          <w:szCs w:val="220"/>
        </w:rPr>
        <w:t xml:space="preserve">CHMv2</w:t>
      </w:r>
      <w:r>
        <w:rPr>
          <w:rFonts w:ascii="Times New Roman" w:cs="Times New Roman" w:eastAsia="Times New Roman" w:hAnsi="Times New Roman"/>
          <w:sz w:val="220"/>
          <w:szCs w:val="220"/>
        </w:rPr>
        <w:t xml:space="preserve"> (canopy height estimation calibrated against GEDI LiDAR).</w:t>
      </w:r>
    </w:p>
    <w:p>
      <w:pPr>
        <w:spacing w:after="120" w:before="0" w:line="276"/>
        <w:jc w:val="both"/>
      </w:pPr>
      <w:r>
        <w:rPr>
          <w:rFonts w:ascii="Times New Roman" w:cs="Times New Roman" w:eastAsia="Times New Roman" w:hAnsi="Times New Roman"/>
          <w:b/>
          <w:bCs/>
          <w:sz w:val="220"/>
          <w:szCs w:val="220"/>
        </w:rPr>
        <w:t xml:space="preserve">Prithvi-EO-2.0 </w:t>
      </w:r>
      <w:r>
        <w:rPr>
          <w:rFonts w:ascii="Times New Roman" w:cs="Times New Roman" w:eastAsia="Times New Roman" w:hAnsi="Times New Roman"/>
          <w:sz w:val="220"/>
          <w:szCs w:val="220"/>
          <w:vertAlign w:val="superscript"/>
        </w:rPr>
        <w:t xml:space="preserve">[4]</w:t>
      </w:r>
      <w:r>
        <w:rPr>
          <w:rFonts w:ascii="Times New Roman" w:cs="Times New Roman" w:eastAsia="Times New Roman" w:hAnsi="Times New Roman"/>
          <w:sz w:val="220"/>
          <w:szCs w:val="220"/>
        </w:rPr>
        <w:t xml:space="preserve"> is a 600 M-parameter masked autoencoder pre-trained on 4.2 million HLS tiles. A 6-channel band adapter bridges the HLS input convention (Blue, Green, Red, NIR, SWIR1, SWIR2) to Sentinel-2 and Landsat configurations through learned weight initialisation from channel correlation statistics. Five task heads are exposed: land cover (9 ESA WorldCover classes), crop mapping (10 USDA types), flood detection, burn scar mapping, and biomass regression.</w:t>
      </w:r>
    </w:p>
    <w:p>
      <w:pPr>
        <w:pStyle w:val="Heading2"/>
        <w:spacing w:after="80" w:before="200"/>
      </w:pPr>
      <w:r>
        <w:t xml:space="preserve">2.5 GeoAgent</w:t>
      </w:r>
    </w:p>
    <w:p>
      <w:pPr>
        <w:spacing w:after="120" w:before="0" w:line="276"/>
        <w:jc w:val="both"/>
      </w:pPr>
      <w:r>
        <w:rPr>
          <w:rFonts w:ascii="Times New Roman" w:cs="Times New Roman" w:eastAsia="Times New Roman" w:hAnsi="Times New Roman"/>
          <w:sz w:val="220"/>
          <w:szCs w:val="220"/>
        </w:rPr>
        <w:t xml:space="preserve">The GeoAgent maps natural-language EO queries to complete tool sequences through a three-stage decision hierarchy (Figure 3). Stage 1 selects the sensor class (SAR or optical) from keyword signals. Stage 2 scores the query against 14 task types (flood, damage, oil_spill, subsidence, land_cover, crop, burn, change, forest, spectral, building, ship, glacier, generic). Stage 3 selects a deterministic tool sequence from a 14 × 2 (task × sensor) decision matrix.</w:t>
      </w:r>
    </w:p>
    <w:p>
      <w:pPr>
        <w:spacing w:after="120" w:before="0" w:line="276"/>
        <w:jc w:val="both"/>
      </w:pPr>
      <w:r>
        <w:rPr>
          <w:rFonts w:ascii="Times New Roman" w:cs="Times New Roman" w:eastAsia="Times New Roman" w:hAnsi="Times New Roman"/>
          <w:sz w:val="220"/>
          <w:szCs w:val="220"/>
        </w:rPr>
        <w:t xml:space="preserve">Two planning modes are available. The </w:t>
      </w:r>
      <w:r>
        <w:rPr>
          <w:rFonts w:ascii="Times New Roman" w:cs="Times New Roman" w:eastAsia="Times New Roman" w:hAnsi="Times New Roman"/>
          <w:b/>
          <w:bCs/>
          <w:sz w:val="220"/>
          <w:szCs w:val="220"/>
        </w:rPr>
        <w:t xml:space="preserve">heuristic planner</w:t>
      </w:r>
      <w:r>
        <w:rPr>
          <w:rFonts w:ascii="Times New Roman" w:cs="Times New Roman" w:eastAsia="Times New Roman" w:hAnsi="Times New Roman"/>
          <w:sz w:val="220"/>
          <w:szCs w:val="220"/>
        </w:rPr>
        <w:t xml:space="preserve"> implements the full decision matrix without any external API calls, covering approximately 80% of common EO workflows and achieving 86% task accuracy on the evaluation set. The </w:t>
      </w:r>
      <w:r>
        <w:rPr>
          <w:rFonts w:ascii="Times New Roman" w:cs="Times New Roman" w:eastAsia="Times New Roman" w:hAnsi="Times New Roman"/>
          <w:b/>
          <w:bCs/>
          <w:sz w:val="220"/>
          <w:szCs w:val="220"/>
        </w:rPr>
        <w:t xml:space="preserve">LLM planner</w:t>
      </w:r>
      <w:r>
        <w:rPr>
          <w:rFonts w:ascii="Times New Roman" w:cs="Times New Roman" w:eastAsia="Times New Roman" w:hAnsi="Times New Roman"/>
          <w:sz w:val="220"/>
          <w:szCs w:val="220"/>
        </w:rPr>
        <w:t xml:space="preserve"> sends the query and all ten tool schemas to Claude or GPT-4, which reasons about the optimal sequence with step-level rationale, achieving 96% task accuracy for complex or ambiguous queries.</w:t>
      </w:r>
    </w:p>
    <w:p>
      <w:pPr>
        <w:spacing w:after="80" w:before="24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290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190"/>
          <w:szCs w:val="190"/>
        </w:rPr>
        <w:t xml:space="preserve">Figure 3. GeoAgent three-stage decision hierarchy. A natural-language query is mapped to sensor class, task type, and a deterministic tool sequence. The heuristic planner operates without any external API key.</w:t>
      </w:r>
    </w:p>
    <w:p>
      <w:pPr>
        <w:pStyle w:val="Heading2"/>
        <w:spacing w:after="80" w:before="200"/>
      </w:pPr>
      <w:r>
        <w:t xml:space="preserve">2.6 InSAR Layer</w:t>
      </w:r>
    </w:p>
    <w:p>
      <w:pPr>
        <w:spacing w:after="120" w:before="0" w:line="276"/>
        <w:jc w:val="both"/>
      </w:pPr>
      <w:r>
        <w:rPr>
          <w:rFonts w:ascii="Times New Roman" w:cs="Times New Roman" w:eastAsia="Times New Roman" w:hAnsi="Times New Roman"/>
          <w:sz w:val="220"/>
          <w:szCs w:val="220"/>
        </w:rPr>
        <w:t xml:space="preserve">PyGeoVision provides a complete InSAR processing chain in two modes. In </w:t>
      </w:r>
      <w:r>
        <w:rPr>
          <w:rFonts w:ascii="Times New Roman" w:cs="Times New Roman" w:eastAsia="Times New Roman" w:hAnsi="Times New Roman"/>
          <w:b/>
          <w:bCs/>
          <w:sz w:val="220"/>
          <w:szCs w:val="220"/>
        </w:rPr>
        <w:t xml:space="preserve">GRD amplitude proxy mode</w:t>
      </w:r>
      <w:r>
        <w:rPr>
          <w:rFonts w:ascii="Times New Roman" w:cs="Times New Roman" w:eastAsia="Times New Roman" w:hAnsi="Times New Roman"/>
          <w:sz w:val="220"/>
          <w:szCs w:val="220"/>
        </w:rPr>
        <w:t xml:space="preserve">, accessible without SNAP or ISCE2, the amplitude change ratio between two co-registered GRD rasters is normalised and wrapped to [−π, π] as a displacement proxy with centimetre–decimetre accuracy. In </w:t>
      </w:r>
      <w:r>
        <w:rPr>
          <w:rFonts w:ascii="Times New Roman" w:cs="Times New Roman" w:eastAsia="Times New Roman" w:hAnsi="Times New Roman"/>
          <w:b/>
          <w:bCs/>
          <w:sz w:val="220"/>
          <w:szCs w:val="220"/>
        </w:rPr>
        <w:t xml:space="preserve">SLC phase mode</w:t>
      </w:r>
      <w:r>
        <w:rPr>
          <w:rFonts w:ascii="Times New Roman" w:cs="Times New Roman" w:eastAsia="Times New Roman" w:hAnsi="Times New Roman"/>
          <w:sz w:val="220"/>
          <w:szCs w:val="220"/>
        </w:rPr>
        <w:t xml:space="preserve">, unwrapped phase from external tools is converted using the standard formula d</w:t>
      </w:r>
      <w:r>
        <w:rPr>
          <w:rFonts w:ascii="Times New Roman" w:cs="Times New Roman" w:eastAsia="Times New Roman" w:hAnsi="Times New Roman"/>
          <w:sz w:val="220"/>
          <w:szCs w:val="220"/>
          <w:vertAlign w:val="subscript"/>
        </w:rPr>
        <w:t xml:space="preserve">LOS</w:t>
      </w:r>
      <w:r>
        <w:rPr>
          <w:rFonts w:ascii="Times New Roman" w:cs="Times New Roman" w:eastAsia="Times New Roman" w:hAnsi="Times New Roman"/>
          <w:sz w:val="220"/>
          <w:szCs w:val="220"/>
        </w:rPr>
        <w:t xml:space="preserve"> = (λ/4π) × φ where λ = 0.05546576 m for Sentinel-1 C-band, achieving millimetre precision.</w:t>
      </w:r>
    </w:p>
    <w:p>
      <w:pPr>
        <w:spacing w:after="80" w:before="240"/>
        <w:jc w:val="center"/>
      </w:pPr>
      <w:r>
        <w:drawing>
          <wp:inline distT="0" distB="0" distL="0" distR="0">
            <wp:extent cx="5334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955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190"/>
          <w:szCs w:val="190"/>
        </w:rPr>
        <w:t xml:space="preserve">Figure 4. PyGeoVision InSAR processing chain from co-registered SAR input to structured DeformationReport. GRD amplitude proxy mode (left) requires no external dependencies; SLC phase mode (right) achieves millimetre precision with SNAP/ISCE2 preprocessing.</w:t>
      </w:r>
    </w:p>
    <w:p>
      <w:pPr>
        <w:pStyle w:val="Heading1"/>
        <w:pBdr>
          <w:bottom w:val="single" w:color="1a56db" w:sz="6" w:space="4"/>
        </w:pBdr>
        <w:spacing w:after="120" w:before="280"/>
      </w:pPr>
      <w:r>
        <w:t xml:space="preserve">3. Methodology</w:t>
      </w:r>
    </w:p>
    <w:p>
      <w:pPr>
        <w:pStyle w:val="Heading2"/>
        <w:spacing w:after="80" w:before="200"/>
      </w:pPr>
      <w:r>
        <w:t xml:space="preserve">3.1 Software Engineering</w:t>
      </w:r>
    </w:p>
    <w:p>
      <w:pPr>
        <w:spacing w:after="120" w:before="0" w:line="276"/>
        <w:jc w:val="both"/>
      </w:pPr>
      <w:r>
        <w:rPr>
          <w:rFonts w:ascii="Times New Roman" w:cs="Times New Roman" w:eastAsia="Times New Roman" w:hAnsi="Times New Roman"/>
          <w:sz w:val="220"/>
          <w:szCs w:val="220"/>
        </w:rPr>
        <w:t xml:space="preserve">All public functions carry PEP 484 type annotations and NumPy-style docstrings. The test suite comprises 585 automated tests across 28 test files, covering unit tests, integration tests, and CLI end-to-end tests. Tests run on three operating systems (Ubuntu, macOS, Windows) and three Python versions (3.10, 3.11, 3.12) via GitHub Actions. Coverage is reported to Codecov on every commit. Releases follow semantic versioning with automated PyPI publication.</w:t>
      </w:r>
    </w:p>
    <w:p>
      <w:pPr>
        <w:pStyle w:val="Heading2"/>
        <w:spacing w:after="80" w:before="200"/>
      </w:pPr>
      <w:r>
        <w:t xml:space="preserve">3.2 Dataset Registry</w:t>
      </w:r>
    </w:p>
    <w:p>
      <w:pPr>
        <w:spacing w:after="120" w:before="0" w:line="276"/>
        <w:jc w:val="both"/>
      </w:pPr>
      <w:r>
        <w:rPr>
          <w:rFonts w:ascii="Times New Roman" w:cs="Times New Roman" w:eastAsia="Times New Roman" w:hAnsi="Times New Roman"/>
          <w:sz w:val="220"/>
          <w:szCs w:val="220"/>
        </w:rPr>
        <w:t xml:space="preserve">PyGeoVision maintains a registry of 503 benchmark datasets curated following the EarthNets methodology </w:t>
      </w:r>
      <w:r>
        <w:rPr>
          <w:rFonts w:ascii="Times New Roman" w:cs="Times New Roman" w:eastAsia="Times New Roman" w:hAnsi="Times New Roman"/>
          <w:sz w:val="220"/>
          <w:szCs w:val="220"/>
          <w:vertAlign w:val="superscript"/>
        </w:rPr>
        <w:t xml:space="preserve">[12]</w:t>
      </w:r>
      <w:r>
        <w:rPr>
          <w:rFonts w:ascii="Times New Roman" w:cs="Times New Roman" w:eastAsia="Times New Roman" w:hAnsi="Times New Roman"/>
          <w:sz w:val="220"/>
          <w:szCs w:val="220"/>
        </w:rPr>
        <w:t xml:space="preserve">. Each entry records nine standardised attributes: domain, publication year, number of samples, number of classes, modality, spatial resolution, data volume, supported tasks, and direct download URL.</w:t>
      </w:r>
    </w:p>
    <w:p>
      <w:pPr>
        <w:pStyle w:val="Heading2"/>
        <w:spacing w:after="80" w:before="200"/>
      </w:pPr>
      <w:r>
        <w:t xml:space="preserve">3.3 Benchmark Evaluation Protocol</w:t>
      </w:r>
    </w:p>
    <w:p>
      <w:pPr>
        <w:spacing w:after="120" w:before="0" w:line="276"/>
        <w:jc w:val="both"/>
      </w:pPr>
      <w:r>
        <w:rPr>
          <w:rFonts w:ascii="Times New Roman" w:cs="Times New Roman" w:eastAsia="Times New Roman" w:hAnsi="Times New Roman"/>
          <w:sz w:val="220"/>
          <w:szCs w:val="220"/>
        </w:rPr>
        <w:t xml:space="preserve">We evaluate PyGeoVision on five standard datasets against three baselines — GeoAI </w:t>
      </w:r>
      <w:r>
        <w:rPr>
          <w:rFonts w:ascii="Times New Roman" w:cs="Times New Roman" w:eastAsia="Times New Roman" w:hAnsi="Times New Roman"/>
          <w:sz w:val="220"/>
          <w:szCs w:val="220"/>
          <w:vertAlign w:val="superscript"/>
        </w:rPr>
        <w:t xml:space="preserve">[6]</w:t>
      </w:r>
      <w:r>
        <w:rPr>
          <w:rFonts w:ascii="Times New Roman" w:cs="Times New Roman" w:eastAsia="Times New Roman" w:hAnsi="Times New Roman"/>
          <w:sz w:val="220"/>
          <w:szCs w:val="220"/>
        </w:rPr>
        <w:t xml:space="preserve">, TorchGeo </w:t>
      </w:r>
      <w:r>
        <w:rPr>
          <w:rFonts w:ascii="Times New Roman" w:cs="Times New Roman" w:eastAsia="Times New Roman" w:hAnsi="Times New Roman"/>
          <w:sz w:val="220"/>
          <w:szCs w:val="220"/>
          <w:vertAlign w:val="superscript"/>
        </w:rPr>
        <w:t xml:space="preserve">[7]</w:t>
      </w:r>
      <w:r>
        <w:rPr>
          <w:rFonts w:ascii="Times New Roman" w:cs="Times New Roman" w:eastAsia="Times New Roman" w:hAnsi="Times New Roman"/>
          <w:sz w:val="220"/>
          <w:szCs w:val="220"/>
        </w:rPr>
        <w:t xml:space="preserve">, and TerraTorch </w:t>
      </w:r>
      <w:r>
        <w:rPr>
          <w:rFonts w:ascii="Times New Roman" w:cs="Times New Roman" w:eastAsia="Times New Roman" w:hAnsi="Times New Roman"/>
          <w:sz w:val="220"/>
          <w:szCs w:val="220"/>
          <w:vertAlign w:val="superscript"/>
        </w:rPr>
        <w:t xml:space="preserve">[8]</w:t>
      </w:r>
      <w:r>
        <w:rPr>
          <w:rFonts w:ascii="Times New Roman" w:cs="Times New Roman" w:eastAsia="Times New Roman" w:hAnsi="Times New Roman"/>
          <w:sz w:val="220"/>
          <w:szCs w:val="220"/>
        </w:rPr>
        <w:t xml:space="preserve"> — using identical preprocessing, random seeds, and train/val splits for fair comparison: fMoW </w:t>
      </w:r>
      <w:r>
        <w:rPr>
          <w:rFonts w:ascii="Times New Roman" w:cs="Times New Roman" w:eastAsia="Times New Roman" w:hAnsi="Times New Roman"/>
          <w:sz w:val="220"/>
          <w:szCs w:val="220"/>
          <w:vertAlign w:val="superscript"/>
        </w:rPr>
        <w:t xml:space="preserve">[13]</w:t>
      </w:r>
      <w:r>
        <w:rPr>
          <w:rFonts w:ascii="Times New Roman" w:cs="Times New Roman" w:eastAsia="Times New Roman" w:hAnsi="Times New Roman"/>
          <w:sz w:val="220"/>
          <w:szCs w:val="220"/>
        </w:rPr>
        <w:t xml:space="preserve"> (62-class scene classification); BigEarthNet </w:t>
      </w:r>
      <w:r>
        <w:rPr>
          <w:rFonts w:ascii="Times New Roman" w:cs="Times New Roman" w:eastAsia="Times New Roman" w:hAnsi="Times New Roman"/>
          <w:sz w:val="220"/>
          <w:szCs w:val="220"/>
          <w:vertAlign w:val="superscript"/>
        </w:rPr>
        <w:t xml:space="preserve">[14]</w:t>
      </w:r>
      <w:r>
        <w:rPr>
          <w:rFonts w:ascii="Times New Roman" w:cs="Times New Roman" w:eastAsia="Times New Roman" w:hAnsi="Times New Roman"/>
          <w:sz w:val="220"/>
          <w:szCs w:val="220"/>
        </w:rPr>
        <w:t xml:space="preserve"> (43-class multi-label); DIOR </w:t>
      </w:r>
      <w:r>
        <w:rPr>
          <w:rFonts w:ascii="Times New Roman" w:cs="Times New Roman" w:eastAsia="Times New Roman" w:hAnsi="Times New Roman"/>
          <w:sz w:val="220"/>
          <w:szCs w:val="220"/>
          <w:vertAlign w:val="superscript"/>
        </w:rPr>
        <w:t xml:space="preserve">[15]</w:t>
      </w:r>
      <w:r>
        <w:rPr>
          <w:rFonts w:ascii="Times New Roman" w:cs="Times New Roman" w:eastAsia="Times New Roman" w:hAnsi="Times New Roman"/>
          <w:sz w:val="220"/>
          <w:szCs w:val="220"/>
        </w:rPr>
        <w:t xml:space="preserve"> (20-class detection); SEASONET </w:t>
      </w:r>
      <w:r>
        <w:rPr>
          <w:rFonts w:ascii="Times New Roman" w:cs="Times New Roman" w:eastAsia="Times New Roman" w:hAnsi="Times New Roman"/>
          <w:sz w:val="220"/>
          <w:szCs w:val="220"/>
          <w:vertAlign w:val="superscript"/>
        </w:rPr>
        <w:t xml:space="preserve">[16]</w:t>
      </w:r>
      <w:r>
        <w:rPr>
          <w:rFonts w:ascii="Times New Roman" w:cs="Times New Roman" w:eastAsia="Times New Roman" w:hAnsi="Times New Roman"/>
          <w:sz w:val="220"/>
          <w:szCs w:val="220"/>
        </w:rPr>
        <w:t xml:space="preserve"> (9-class segmentation); and LEVIR-CD </w:t>
      </w:r>
      <w:r>
        <w:rPr>
          <w:rFonts w:ascii="Times New Roman" w:cs="Times New Roman" w:eastAsia="Times New Roman" w:hAnsi="Times New Roman"/>
          <w:sz w:val="220"/>
          <w:szCs w:val="220"/>
          <w:vertAlign w:val="superscript"/>
        </w:rPr>
        <w:t xml:space="preserve">[17]</w:t>
      </w:r>
      <w:r>
        <w:rPr>
          <w:rFonts w:ascii="Times New Roman" w:cs="Times New Roman" w:eastAsia="Times New Roman" w:hAnsi="Times New Roman"/>
          <w:sz w:val="220"/>
          <w:szCs w:val="220"/>
        </w:rPr>
        <w:t xml:space="preserve"> (bi-temporal change detection).</w:t>
      </w:r>
    </w:p>
    <w:p>
      <w:pPr>
        <w:pStyle w:val="Heading1"/>
        <w:pBdr>
          <w:bottom w:val="single" w:color="1a56db" w:sz="6" w:space="4"/>
        </w:pBdr>
        <w:spacing w:after="120" w:before="280"/>
      </w:pPr>
      <w:r>
        <w:t xml:space="preserve">4. Results</w:t>
      </w:r>
    </w:p>
    <w:p>
      <w:pPr>
        <w:pStyle w:val="Heading2"/>
        <w:spacing w:after="80" w:before="200"/>
      </w:pPr>
      <w:r>
        <w:t xml:space="preserve">4.1 Classification and Detection</w:t>
      </w:r>
    </w:p>
    <w:p>
      <w:pPr>
        <w:spacing w:after="80" w:before="240"/>
        <w:jc w:val="center"/>
      </w:pPr>
      <w:r>
        <w:drawing>
          <wp:inline distT="0" distB="0" distL="0" distR="0">
            <wp:extent cx="5334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1907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190"/>
          <w:szCs w:val="190"/>
        </w:rPr>
        <w:t xml:space="preserve">Figure 2. Benchmark performance comparison against existing open-source platforms on four standard datasets. PyGeoVision achieves the highest accuracy on all four benchmarks, with improvements of 3.7–6.1 percentage points over the nearest competitor.</w:t>
      </w:r>
    </w:p>
    <w:p>
      <w:pPr>
        <w:spacing w:after="120" w:before="0"/>
      </w:pPr>
    </w:p>
    <w:p>
      <w:pPr>
        <w:spacing w:after="80" w:before="120"/>
      </w:pPr>
      <w:r>
        <w:rPr>
          <w:rFonts w:ascii="Times New Roman" w:cs="Times New Roman" w:eastAsia="Times New Roman" w:hAnsi="Times New Roman"/>
          <w:i/>
          <w:iCs/>
          <w:sz w:val="190"/>
          <w:szCs w:val="190"/>
        </w:rPr>
        <w:t xml:space="preserve">Table 3. Classification performance on fMoW (top-1 accuracy) and object detection on DIOR (mAP@50).</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tblGrid>
      <w:tr>
        <w:trPr>
          <w:tblHeader/>
        </w:trPr>
        <w:tc>
          <w:tcPr>
            <w:tcW w:type="dxa" w:w="2000"/>
            <w:shd w:fill="dbeafe" w:val="clear"/>
          </w:tcPr>
          <w:p>
            <w:pPr>
              <w:spacing w:after="60" w:before="60"/>
            </w:pPr>
            <w:r>
              <w:rPr>
                <w:rFonts w:ascii="Times New Roman" w:cs="Times New Roman" w:eastAsia="Times New Roman" w:hAnsi="Times New Roman"/>
                <w:b/>
                <w:bCs/>
                <w:sz w:val="190"/>
                <w:szCs w:val="190"/>
              </w:rPr>
              <w:t xml:space="preserve">Method</w:t>
            </w:r>
          </w:p>
        </w:tc>
        <w:tc>
          <w:tcPr>
            <w:tcW w:type="dxa" w:w="1400"/>
            <w:shd w:fill="dbeafe" w:val="clear"/>
          </w:tcPr>
          <w:p>
            <w:pPr>
              <w:spacing w:after="60" w:before="60"/>
            </w:pPr>
            <w:r>
              <w:rPr>
                <w:rFonts w:ascii="Times New Roman" w:cs="Times New Roman" w:eastAsia="Times New Roman" w:hAnsi="Times New Roman"/>
                <w:b/>
                <w:bCs/>
                <w:sz w:val="190"/>
                <w:szCs w:val="190"/>
              </w:rPr>
              <w:t xml:space="preserve">Backbone</w:t>
            </w:r>
          </w:p>
        </w:tc>
        <w:tc>
          <w:tcPr>
            <w:tcW w:type="dxa" w:w="1400"/>
            <w:shd w:fill="dbeafe" w:val="clear"/>
          </w:tcPr>
          <w:p>
            <w:pPr>
              <w:spacing w:after="60" w:before="60"/>
            </w:pPr>
            <w:r>
              <w:rPr>
                <w:rFonts w:ascii="Times New Roman" w:cs="Times New Roman" w:eastAsia="Times New Roman" w:hAnsi="Times New Roman"/>
                <w:b/>
                <w:bCs/>
                <w:sz w:val="190"/>
                <w:szCs w:val="190"/>
              </w:rPr>
              <w:t xml:space="preserve">fMoW Acc. (%)</w:t>
            </w:r>
          </w:p>
        </w:tc>
        <w:tc>
          <w:tcPr>
            <w:tcW w:type="dxa" w:w="1600"/>
            <w:shd w:fill="dbeafe" w:val="clear"/>
          </w:tcPr>
          <w:p>
            <w:pPr>
              <w:spacing w:after="60" w:before="60"/>
            </w:pPr>
            <w:r>
              <w:rPr>
                <w:rFonts w:ascii="Times New Roman" w:cs="Times New Roman" w:eastAsia="Times New Roman" w:hAnsi="Times New Roman"/>
                <w:b/>
                <w:bCs/>
                <w:sz w:val="190"/>
                <w:szCs w:val="190"/>
              </w:rPr>
              <w:t xml:space="preserve">DIOR mAP@50 (%)</w:t>
            </w:r>
          </w:p>
        </w:tc>
        <w:tc>
          <w:tcPr>
            <w:tcW w:type="dxa" w:w="1160"/>
            <w:shd w:fill="dbeafe" w:val="clear"/>
          </w:tcPr>
          <w:p>
            <w:pPr>
              <w:spacing w:after="60" w:before="60"/>
            </w:pPr>
            <w:r>
              <w:rPr>
                <w:rFonts w:ascii="Times New Roman" w:cs="Times New Roman" w:eastAsia="Times New Roman" w:hAnsi="Times New Roman"/>
                <w:b/>
                <w:bCs/>
                <w:sz w:val="190"/>
                <w:szCs w:val="190"/>
              </w:rPr>
              <w:t xml:space="preserve">Inference (ms)</w:t>
            </w:r>
          </w:p>
        </w:tc>
      </w:tr>
      <w:tr>
        <w:tc>
          <w:tcPr>
            <w:tcW w:type="dxa" w:w="2000"/>
          </w:tcPr>
          <w:p>
            <w:pPr>
              <w:spacing w:after="40" w:before="40"/>
            </w:pPr>
            <w:r>
              <w:rPr>
                <w:rFonts w:ascii="Times New Roman" w:cs="Times New Roman" w:eastAsia="Times New Roman" w:hAnsi="Times New Roman"/>
                <w:sz w:val="190"/>
                <w:szCs w:val="190"/>
              </w:rPr>
              <w:t xml:space="preserve">GeoAI [6]</w:t>
            </w:r>
          </w:p>
        </w:tc>
        <w:tc>
          <w:tcPr>
            <w:tcW w:type="dxa" w:w="1400"/>
          </w:tcPr>
          <w:p>
            <w:pPr>
              <w:spacing w:after="40" w:before="40"/>
            </w:pPr>
            <w:r>
              <w:rPr>
                <w:rFonts w:ascii="Times New Roman" w:cs="Times New Roman" w:eastAsia="Times New Roman" w:hAnsi="Times New Roman"/>
                <w:sz w:val="190"/>
                <w:szCs w:val="190"/>
              </w:rPr>
              <w:t xml:space="preserve">ResNet50</w:t>
            </w:r>
          </w:p>
        </w:tc>
        <w:tc>
          <w:tcPr>
            <w:tcW w:type="dxa" w:w="1400"/>
          </w:tcPr>
          <w:p>
            <w:pPr>
              <w:spacing w:after="40" w:before="40"/>
            </w:pPr>
            <w:r>
              <w:rPr>
                <w:rFonts w:ascii="Times New Roman" w:cs="Times New Roman" w:eastAsia="Times New Roman" w:hAnsi="Times New Roman"/>
                <w:sz w:val="190"/>
                <w:szCs w:val="190"/>
              </w:rPr>
              <w:t xml:space="preserve">62.1</w:t>
            </w:r>
          </w:p>
        </w:tc>
        <w:tc>
          <w:tcPr>
            <w:tcW w:type="dxa" w:w="1600"/>
          </w:tcPr>
          <w:p>
            <w:pPr>
              <w:spacing w:after="40" w:before="40"/>
            </w:pPr>
            <w:r>
              <w:rPr>
                <w:rFonts w:ascii="Times New Roman" w:cs="Times New Roman" w:eastAsia="Times New Roman" w:hAnsi="Times New Roman"/>
                <w:sz w:val="190"/>
                <w:szCs w:val="190"/>
              </w:rPr>
              <w:t xml:space="preserve">65.7</w:t>
            </w:r>
          </w:p>
        </w:tc>
        <w:tc>
          <w:tcPr>
            <w:tcW w:type="dxa" w:w="1160"/>
          </w:tcPr>
          <w:p>
            <w:pPr>
              <w:spacing w:after="40" w:before="40"/>
            </w:pPr>
            <w:r>
              <w:rPr>
                <w:rFonts w:ascii="Times New Roman" w:cs="Times New Roman" w:eastAsia="Times New Roman" w:hAnsi="Times New Roman"/>
                <w:sz w:val="190"/>
                <w:szCs w:val="190"/>
              </w:rPr>
              <w:t xml:space="preserve">120</w:t>
            </w:r>
          </w:p>
        </w:tc>
      </w:tr>
      <w:tr>
        <w:tc>
          <w:tcPr>
            <w:tcW w:type="dxa" w:w="2000"/>
          </w:tcPr>
          <w:p>
            <w:pPr>
              <w:spacing w:after="40" w:before="40"/>
            </w:pPr>
            <w:r>
              <w:rPr>
                <w:rFonts w:ascii="Times New Roman" w:cs="Times New Roman" w:eastAsia="Times New Roman" w:hAnsi="Times New Roman"/>
                <w:sz w:val="190"/>
                <w:szCs w:val="190"/>
              </w:rPr>
              <w:t xml:space="preserve">TorchGeo [7]</w:t>
            </w:r>
          </w:p>
        </w:tc>
        <w:tc>
          <w:tcPr>
            <w:tcW w:type="dxa" w:w="1400"/>
          </w:tcPr>
          <w:p>
            <w:pPr>
              <w:spacing w:after="40" w:before="40"/>
            </w:pPr>
            <w:r>
              <w:rPr>
                <w:rFonts w:ascii="Times New Roman" w:cs="Times New Roman" w:eastAsia="Times New Roman" w:hAnsi="Times New Roman"/>
                <w:sz w:val="190"/>
                <w:szCs w:val="190"/>
              </w:rPr>
              <w:t xml:space="preserve">ViT-B/16</w:t>
            </w:r>
          </w:p>
        </w:tc>
        <w:tc>
          <w:tcPr>
            <w:tcW w:type="dxa" w:w="1400"/>
          </w:tcPr>
          <w:p>
            <w:pPr>
              <w:spacing w:after="40" w:before="40"/>
            </w:pPr>
            <w:r>
              <w:rPr>
                <w:rFonts w:ascii="Times New Roman" w:cs="Times New Roman" w:eastAsia="Times New Roman" w:hAnsi="Times New Roman"/>
                <w:sz w:val="190"/>
                <w:szCs w:val="190"/>
              </w:rPr>
              <w:t xml:space="preserve">64.5</w:t>
            </w:r>
          </w:p>
        </w:tc>
        <w:tc>
          <w:tcPr>
            <w:tcW w:type="dxa" w:w="1600"/>
          </w:tcPr>
          <w:p>
            <w:pPr>
              <w:spacing w:after="40" w:before="40"/>
            </w:pPr>
            <w:r>
              <w:rPr>
                <w:rFonts w:ascii="Times New Roman" w:cs="Times New Roman" w:eastAsia="Times New Roman" w:hAnsi="Times New Roman"/>
                <w:sz w:val="190"/>
                <w:szCs w:val="190"/>
              </w:rPr>
              <w:t xml:space="preserve">67.8</w:t>
            </w:r>
          </w:p>
        </w:tc>
        <w:tc>
          <w:tcPr>
            <w:tcW w:type="dxa" w:w="1160"/>
          </w:tcPr>
          <w:p>
            <w:pPr>
              <w:spacing w:after="40" w:before="40"/>
            </w:pPr>
            <w:r>
              <w:rPr>
                <w:rFonts w:ascii="Times New Roman" w:cs="Times New Roman" w:eastAsia="Times New Roman" w:hAnsi="Times New Roman"/>
                <w:sz w:val="190"/>
                <w:szCs w:val="190"/>
              </w:rPr>
              <w:t xml:space="preserve">98</w:t>
            </w:r>
          </w:p>
        </w:tc>
      </w:tr>
      <w:tr>
        <w:tc>
          <w:tcPr>
            <w:tcW w:type="dxa" w:w="2000"/>
          </w:tcPr>
          <w:p>
            <w:pPr>
              <w:spacing w:after="40" w:before="40"/>
            </w:pPr>
            <w:r>
              <w:rPr>
                <w:rFonts w:ascii="Times New Roman" w:cs="Times New Roman" w:eastAsia="Times New Roman" w:hAnsi="Times New Roman"/>
                <w:sz w:val="190"/>
                <w:szCs w:val="190"/>
              </w:rPr>
              <w:t xml:space="preserve">TerraTorch [8]</w:t>
            </w:r>
          </w:p>
        </w:tc>
        <w:tc>
          <w:tcPr>
            <w:tcW w:type="dxa" w:w="1400"/>
          </w:tcPr>
          <w:p>
            <w:pPr>
              <w:spacing w:after="40" w:before="40"/>
            </w:pPr>
            <w:r>
              <w:rPr>
                <w:rFonts w:ascii="Times New Roman" w:cs="Times New Roman" w:eastAsia="Times New Roman" w:hAnsi="Times New Roman"/>
                <w:sz w:val="190"/>
                <w:szCs w:val="190"/>
              </w:rPr>
              <w:t xml:space="preserve">ViT-L/14</w:t>
            </w:r>
          </w:p>
        </w:tc>
        <w:tc>
          <w:tcPr>
            <w:tcW w:type="dxa" w:w="1400"/>
          </w:tcPr>
          <w:p>
            <w:pPr>
              <w:spacing w:after="40" w:before="40"/>
            </w:pPr>
            <w:r>
              <w:rPr>
                <w:rFonts w:ascii="Times New Roman" w:cs="Times New Roman" w:eastAsia="Times New Roman" w:hAnsi="Times New Roman"/>
                <w:sz w:val="190"/>
                <w:szCs w:val="190"/>
              </w:rPr>
              <w:t xml:space="preserve">65.9</w:t>
            </w:r>
          </w:p>
        </w:tc>
        <w:tc>
          <w:tcPr>
            <w:tcW w:type="dxa" w:w="1600"/>
          </w:tcPr>
          <w:p>
            <w:pPr>
              <w:spacing w:after="40" w:before="40"/>
            </w:pPr>
            <w:r>
              <w:rPr>
                <w:rFonts w:ascii="Times New Roman" w:cs="Times New Roman" w:eastAsia="Times New Roman" w:hAnsi="Times New Roman"/>
                <w:sz w:val="190"/>
                <w:szCs w:val="190"/>
              </w:rPr>
              <w:t xml:space="preserve">68.4</w:t>
            </w:r>
          </w:p>
        </w:tc>
        <w:tc>
          <w:tcPr>
            <w:tcW w:type="dxa" w:w="1160"/>
          </w:tcPr>
          <w:p>
            <w:pPr>
              <w:spacing w:after="40" w:before="40"/>
            </w:pPr>
            <w:r>
              <w:rPr>
                <w:rFonts w:ascii="Times New Roman" w:cs="Times New Roman" w:eastAsia="Times New Roman" w:hAnsi="Times New Roman"/>
                <w:sz w:val="190"/>
                <w:szCs w:val="190"/>
              </w:rPr>
              <w:t xml:space="preserve">145</w:t>
            </w:r>
          </w:p>
        </w:tc>
      </w:tr>
      <w:tr>
        <w:tc>
          <w:tcPr>
            <w:tcW w:type="dxa" w:w="2000"/>
          </w:tcPr>
          <w:p>
            <w:pPr>
              <w:spacing w:after="40" w:before="40"/>
            </w:pPr>
            <w:r>
              <w:rPr>
                <w:rFonts w:ascii="Times New Roman" w:cs="Times New Roman" w:eastAsia="Times New Roman" w:hAnsi="Times New Roman"/>
                <w:sz w:val="190"/>
                <w:szCs w:val="190"/>
              </w:rPr>
              <w:t xml:space="preserve">PyGeoVision</w:t>
            </w:r>
          </w:p>
        </w:tc>
        <w:tc>
          <w:tcPr>
            <w:tcW w:type="dxa" w:w="1400"/>
          </w:tcPr>
          <w:p>
            <w:pPr>
              <w:spacing w:after="40" w:before="40"/>
            </w:pPr>
            <w:r>
              <w:rPr>
                <w:rFonts w:ascii="Times New Roman" w:cs="Times New Roman" w:eastAsia="Times New Roman" w:hAnsi="Times New Roman"/>
                <w:sz w:val="190"/>
                <w:szCs w:val="190"/>
              </w:rPr>
              <w:t xml:space="preserve">DINOv3-L SAT</w:t>
            </w:r>
          </w:p>
        </w:tc>
        <w:tc>
          <w:tcPr>
            <w:tcW w:type="dxa" w:w="1400"/>
          </w:tcPr>
          <w:p>
            <w:pPr>
              <w:spacing w:after="40" w:before="40"/>
            </w:pPr>
            <w:r>
              <w:rPr>
                <w:rFonts w:ascii="Times New Roman" w:cs="Times New Roman" w:eastAsia="Times New Roman" w:hAnsi="Times New Roman"/>
                <w:sz w:val="190"/>
                <w:szCs w:val="190"/>
              </w:rPr>
              <w:t xml:space="preserve">70.1</w:t>
            </w:r>
          </w:p>
        </w:tc>
        <w:tc>
          <w:tcPr>
            <w:tcW w:type="dxa" w:w="1600"/>
          </w:tcPr>
          <w:p>
            <w:pPr>
              <w:spacing w:after="40" w:before="40"/>
            </w:pPr>
            <w:r>
              <w:rPr>
                <w:rFonts w:ascii="Times New Roman" w:cs="Times New Roman" w:eastAsia="Times New Roman" w:hAnsi="Times New Roman"/>
                <w:sz w:val="190"/>
                <w:szCs w:val="190"/>
              </w:rPr>
              <w:t xml:space="preserve">73.8</w:t>
            </w:r>
          </w:p>
        </w:tc>
        <w:tc>
          <w:tcPr>
            <w:tcW w:type="dxa" w:w="1160"/>
          </w:tcPr>
          <w:p>
            <w:pPr>
              <w:spacing w:after="40" w:before="40"/>
            </w:pPr>
            <w:r>
              <w:rPr>
                <w:rFonts w:ascii="Times New Roman" w:cs="Times New Roman" w:eastAsia="Times New Roman" w:hAnsi="Times New Roman"/>
                <w:sz w:val="190"/>
                <w:szCs w:val="190"/>
              </w:rPr>
              <w:t xml:space="preserve">85</w:t>
            </w:r>
          </w:p>
        </w:tc>
      </w:tr>
    </w:tbl>
    <w:p>
      <w:pPr>
        <w:spacing w:after="120" w:before="0"/>
      </w:pPr>
    </w:p>
    <w:p>
      <w:pPr>
        <w:pStyle w:val="Heading2"/>
        <w:spacing w:after="80" w:before="200"/>
      </w:pPr>
      <w:r>
        <w:t xml:space="preserve">4.2 Segmentation and Change Detection</w:t>
      </w:r>
    </w:p>
    <w:p>
      <w:pPr>
        <w:spacing w:after="80" w:before="120"/>
      </w:pPr>
      <w:r>
        <w:rPr>
          <w:rFonts w:ascii="Times New Roman" w:cs="Times New Roman" w:eastAsia="Times New Roman" w:hAnsi="Times New Roman"/>
          <w:i/>
          <w:iCs/>
          <w:sz w:val="190"/>
          <w:szCs w:val="190"/>
        </w:rPr>
        <w:t xml:space="preserve">Table 4. Semantic segmentation on SEASONET (mIoU) and change detection on LEVIR-CD (F1, Kappa).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rPr>
          <w:tblHeader/>
        </w:trPr>
        <w:tc>
          <w:tcPr>
            <w:tcW w:type="dxa" w:w="2500"/>
            <w:shd w:fill="dbeafe" w:val="clear"/>
          </w:tcPr>
          <w:p>
            <w:pPr>
              <w:spacing w:after="60" w:before="60"/>
            </w:pPr>
            <w:r>
              <w:rPr>
                <w:rFonts w:ascii="Times New Roman" w:cs="Times New Roman" w:eastAsia="Times New Roman" w:hAnsi="Times New Roman"/>
                <w:b/>
                <w:bCs/>
                <w:sz w:val="190"/>
                <w:szCs w:val="190"/>
              </w:rPr>
              <w:t xml:space="preserve">Method</w:t>
            </w:r>
          </w:p>
        </w:tc>
        <w:tc>
          <w:tcPr>
            <w:tcW w:type="dxa" w:w="1800"/>
            <w:shd w:fill="dbeafe" w:val="clear"/>
          </w:tcPr>
          <w:p>
            <w:pPr>
              <w:spacing w:after="60" w:before="60"/>
            </w:pPr>
            <w:r>
              <w:rPr>
                <w:rFonts w:ascii="Times New Roman" w:cs="Times New Roman" w:eastAsia="Times New Roman" w:hAnsi="Times New Roman"/>
                <w:b/>
                <w:bCs/>
                <w:sz w:val="190"/>
                <w:szCs w:val="190"/>
              </w:rPr>
              <w:t xml:space="preserve">SEASONET mIoU (%)</w:t>
            </w:r>
          </w:p>
        </w:tc>
        <w:tc>
          <w:tcPr>
            <w:tcW w:type="dxa" w:w="1800"/>
            <w:shd w:fill="dbeafe" w:val="clear"/>
          </w:tcPr>
          <w:p>
            <w:pPr>
              <w:spacing w:after="60" w:before="60"/>
            </w:pPr>
            <w:r>
              <w:rPr>
                <w:rFonts w:ascii="Times New Roman" w:cs="Times New Roman" w:eastAsia="Times New Roman" w:hAnsi="Times New Roman"/>
                <w:b/>
                <w:bCs/>
                <w:sz w:val="190"/>
                <w:szCs w:val="190"/>
              </w:rPr>
              <w:t xml:space="preserve">LEVIR-CD F1 (%)</w:t>
            </w:r>
          </w:p>
        </w:tc>
        <w:tc>
          <w:tcPr>
            <w:tcW w:type="dxa" w:w="1260"/>
            <w:shd w:fill="dbeafe" w:val="clear"/>
          </w:tcPr>
          <w:p>
            <w:pPr>
              <w:spacing w:after="60" w:before="60"/>
            </w:pPr>
            <w:r>
              <w:rPr>
                <w:rFonts w:ascii="Times New Roman" w:cs="Times New Roman" w:eastAsia="Times New Roman" w:hAnsi="Times New Roman"/>
                <w:b/>
                <w:bCs/>
                <w:sz w:val="190"/>
                <w:szCs w:val="190"/>
              </w:rPr>
              <w:t xml:space="preserve">Kappa</w:t>
            </w:r>
          </w:p>
        </w:tc>
      </w:tr>
      <w:tr>
        <w:tc>
          <w:tcPr>
            <w:tcW w:type="dxa" w:w="2500"/>
          </w:tcPr>
          <w:p>
            <w:pPr>
              <w:spacing w:after="40" w:before="40"/>
            </w:pPr>
            <w:r>
              <w:rPr>
                <w:rFonts w:ascii="Times New Roman" w:cs="Times New Roman" w:eastAsia="Times New Roman" w:hAnsi="Times New Roman"/>
                <w:sz w:val="190"/>
                <w:szCs w:val="190"/>
              </w:rPr>
              <w:t xml:space="preserve">GeoAI [6]</w:t>
            </w:r>
          </w:p>
        </w:tc>
        <w:tc>
          <w:tcPr>
            <w:tcW w:type="dxa" w:w="1800"/>
          </w:tcPr>
          <w:p>
            <w:pPr>
              <w:spacing w:after="40" w:before="40"/>
            </w:pPr>
            <w:r>
              <w:rPr>
                <w:rFonts w:ascii="Times New Roman" w:cs="Times New Roman" w:eastAsia="Times New Roman" w:hAnsi="Times New Roman"/>
                <w:sz w:val="190"/>
                <w:szCs w:val="190"/>
              </w:rPr>
              <w:t xml:space="preserve">47.5</w:t>
            </w:r>
          </w:p>
        </w:tc>
        <w:tc>
          <w:tcPr>
            <w:tcW w:type="dxa" w:w="1800"/>
          </w:tcPr>
          <w:p>
            <w:pPr>
              <w:spacing w:after="40" w:before="40"/>
            </w:pPr>
            <w:r>
              <w:rPr>
                <w:rFonts w:ascii="Times New Roman" w:cs="Times New Roman" w:eastAsia="Times New Roman" w:hAnsi="Times New Roman"/>
                <w:sz w:val="190"/>
                <w:szCs w:val="190"/>
              </w:rPr>
              <w:t xml:space="preserve">83.7</w:t>
            </w:r>
          </w:p>
        </w:tc>
        <w:tc>
          <w:tcPr>
            <w:tcW w:type="dxa" w:w="1260"/>
          </w:tcPr>
          <w:p>
            <w:pPr>
              <w:spacing w:after="40" w:before="40"/>
            </w:pPr>
            <w:r>
              <w:rPr>
                <w:rFonts w:ascii="Times New Roman" w:cs="Times New Roman" w:eastAsia="Times New Roman" w:hAnsi="Times New Roman"/>
                <w:sz w:val="190"/>
                <w:szCs w:val="190"/>
              </w:rPr>
              <w:t xml:space="preserve">0.826</w:t>
            </w:r>
          </w:p>
        </w:tc>
      </w:tr>
      <w:tr>
        <w:tc>
          <w:tcPr>
            <w:tcW w:type="dxa" w:w="2500"/>
          </w:tcPr>
          <w:p>
            <w:pPr>
              <w:spacing w:after="40" w:before="40"/>
            </w:pPr>
            <w:r>
              <w:rPr>
                <w:rFonts w:ascii="Times New Roman" w:cs="Times New Roman" w:eastAsia="Times New Roman" w:hAnsi="Times New Roman"/>
                <w:sz w:val="190"/>
                <w:szCs w:val="190"/>
              </w:rPr>
              <w:t xml:space="preserve">TorchGeo [7]</w:t>
            </w:r>
          </w:p>
        </w:tc>
        <w:tc>
          <w:tcPr>
            <w:tcW w:type="dxa" w:w="1800"/>
          </w:tcPr>
          <w:p>
            <w:pPr>
              <w:spacing w:after="40" w:before="40"/>
            </w:pPr>
            <w:r>
              <w:rPr>
                <w:rFonts w:ascii="Times New Roman" w:cs="Times New Roman" w:eastAsia="Times New Roman" w:hAnsi="Times New Roman"/>
                <w:sz w:val="190"/>
                <w:szCs w:val="190"/>
              </w:rPr>
              <w:t xml:space="preserve">50.8</w:t>
            </w:r>
          </w:p>
        </w:tc>
        <w:tc>
          <w:tcPr>
            <w:tcW w:type="dxa" w:w="1800"/>
          </w:tcPr>
          <w:p>
            <w:pPr>
              <w:spacing w:after="40" w:before="40"/>
            </w:pPr>
            <w:r>
              <w:rPr>
                <w:rFonts w:ascii="Times New Roman" w:cs="Times New Roman" w:eastAsia="Times New Roman" w:hAnsi="Times New Roman"/>
                <w:sz w:val="190"/>
                <w:szCs w:val="190"/>
              </w:rPr>
              <w:t xml:space="preserve">84.4</w:t>
            </w:r>
          </w:p>
        </w:tc>
        <w:tc>
          <w:tcPr>
            <w:tcW w:type="dxa" w:w="1260"/>
          </w:tcPr>
          <w:p>
            <w:pPr>
              <w:spacing w:after="40" w:before="40"/>
            </w:pPr>
            <w:r>
              <w:rPr>
                <w:rFonts w:ascii="Times New Roman" w:cs="Times New Roman" w:eastAsia="Times New Roman" w:hAnsi="Times New Roman"/>
                <w:sz w:val="190"/>
                <w:szCs w:val="190"/>
              </w:rPr>
              <w:t xml:space="preserve">0.833</w:t>
            </w:r>
          </w:p>
        </w:tc>
      </w:tr>
      <w:tr>
        <w:tc>
          <w:tcPr>
            <w:tcW w:type="dxa" w:w="2500"/>
          </w:tcPr>
          <w:p>
            <w:pPr>
              <w:spacing w:after="40" w:before="40"/>
            </w:pPr>
            <w:r>
              <w:rPr>
                <w:rFonts w:ascii="Times New Roman" w:cs="Times New Roman" w:eastAsia="Times New Roman" w:hAnsi="Times New Roman"/>
                <w:sz w:val="190"/>
                <w:szCs w:val="190"/>
              </w:rPr>
              <w:t xml:space="preserve">TerraTorch [8]</w:t>
            </w:r>
          </w:p>
        </w:tc>
        <w:tc>
          <w:tcPr>
            <w:tcW w:type="dxa" w:w="1800"/>
          </w:tcPr>
          <w:p>
            <w:pPr>
              <w:spacing w:after="40" w:before="40"/>
            </w:pPr>
            <w:r>
              <w:rPr>
                <w:rFonts w:ascii="Times New Roman" w:cs="Times New Roman" w:eastAsia="Times New Roman" w:hAnsi="Times New Roman"/>
                <w:sz w:val="190"/>
                <w:szCs w:val="190"/>
              </w:rPr>
              <w:t xml:space="preserve">52.1</w:t>
            </w:r>
          </w:p>
        </w:tc>
        <w:tc>
          <w:tcPr>
            <w:tcW w:type="dxa" w:w="1800"/>
          </w:tcPr>
          <w:p>
            <w:pPr>
              <w:spacing w:after="40" w:before="40"/>
            </w:pPr>
            <w:r>
              <w:rPr>
                <w:rFonts w:ascii="Times New Roman" w:cs="Times New Roman" w:eastAsia="Times New Roman" w:hAnsi="Times New Roman"/>
                <w:sz w:val="190"/>
                <w:szCs w:val="190"/>
              </w:rPr>
              <w:t xml:space="preserve">—</w:t>
            </w:r>
          </w:p>
        </w:tc>
        <w:tc>
          <w:tcPr>
            <w:tcW w:type="dxa" w:w="1260"/>
          </w:tcPr>
          <w:p>
            <w:pPr>
              <w:spacing w:after="40" w:before="40"/>
            </w:pPr>
            <w:r>
              <w:rPr>
                <w:rFonts w:ascii="Times New Roman" w:cs="Times New Roman" w:eastAsia="Times New Roman" w:hAnsi="Times New Roman"/>
                <w:sz w:val="190"/>
                <w:szCs w:val="190"/>
              </w:rPr>
              <w:t xml:space="preserve">—</w:t>
            </w:r>
          </w:p>
        </w:tc>
      </w:tr>
      <w:tr>
        <w:tc>
          <w:tcPr>
            <w:tcW w:type="dxa" w:w="2500"/>
          </w:tcPr>
          <w:p>
            <w:pPr>
              <w:spacing w:after="40" w:before="40"/>
            </w:pPr>
            <w:r>
              <w:rPr>
                <w:rFonts w:ascii="Times New Roman" w:cs="Times New Roman" w:eastAsia="Times New Roman" w:hAnsi="Times New Roman"/>
                <w:sz w:val="190"/>
                <w:szCs w:val="190"/>
              </w:rPr>
              <w:t xml:space="preserve">PyGeoVision</w:t>
            </w:r>
          </w:p>
        </w:tc>
        <w:tc>
          <w:tcPr>
            <w:tcW w:type="dxa" w:w="1800"/>
          </w:tcPr>
          <w:p>
            <w:pPr>
              <w:spacing w:after="40" w:before="40"/>
            </w:pPr>
            <w:r>
              <w:rPr>
                <w:rFonts w:ascii="Times New Roman" w:cs="Times New Roman" w:eastAsia="Times New Roman" w:hAnsi="Times New Roman"/>
                <w:sz w:val="190"/>
                <w:szCs w:val="190"/>
              </w:rPr>
              <w:t xml:space="preserve">57.2</w:t>
            </w:r>
          </w:p>
        </w:tc>
        <w:tc>
          <w:tcPr>
            <w:tcW w:type="dxa" w:w="1800"/>
          </w:tcPr>
          <w:p>
            <w:pPr>
              <w:spacing w:after="40" w:before="40"/>
            </w:pPr>
            <w:r>
              <w:rPr>
                <w:rFonts w:ascii="Times New Roman" w:cs="Times New Roman" w:eastAsia="Times New Roman" w:hAnsi="Times New Roman"/>
                <w:sz w:val="190"/>
                <w:szCs w:val="190"/>
              </w:rPr>
              <w:t xml:space="preserve">88.4</w:t>
            </w:r>
          </w:p>
        </w:tc>
        <w:tc>
          <w:tcPr>
            <w:tcW w:type="dxa" w:w="1260"/>
          </w:tcPr>
          <w:p>
            <w:pPr>
              <w:spacing w:after="40" w:before="40"/>
            </w:pPr>
            <w:r>
              <w:rPr>
                <w:rFonts w:ascii="Times New Roman" w:cs="Times New Roman" w:eastAsia="Times New Roman" w:hAnsi="Times New Roman"/>
                <w:sz w:val="190"/>
                <w:szCs w:val="190"/>
              </w:rPr>
              <w:t xml:space="preserve">0.874</w:t>
            </w:r>
          </w:p>
        </w:tc>
      </w:tr>
    </w:tbl>
    <w:p>
      <w:pPr>
        <w:spacing w:after="120" w:before="0"/>
      </w:pPr>
    </w:p>
    <w:p>
      <w:pPr>
        <w:pStyle w:val="Heading2"/>
        <w:spacing w:after="80" w:before="200"/>
      </w:pPr>
      <w:r>
        <w:t xml:space="preserve">4.3 Foundation Model Performance</w:t>
      </w:r>
    </w:p>
    <w:p>
      <w:pPr>
        <w:spacing w:after="80" w:before="24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4765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190"/>
          <w:szCs w:val="190"/>
        </w:rPr>
        <w:t xml:space="preserve">Figure 5. Prithvi-EO-2.0 zero-shot versus fine-tuned performance across four EO tasks. Strong zero-shot performance (42–71%) confirms that the model has internalised general EO representations transferable across task domains.</w:t>
      </w:r>
    </w:p>
    <w:p>
      <w:pPr>
        <w:spacing w:after="120" w:before="0"/>
      </w:pPr>
    </w:p>
    <w:p>
      <w:pPr>
        <w:pStyle w:val="Heading2"/>
        <w:spacing w:after="80" w:before="200"/>
      </w:pPr>
      <w:r>
        <w:t xml:space="preserve">4.4 GeoAgent Evaluation</w:t>
      </w:r>
    </w:p>
    <w:p>
      <w:pPr>
        <w:spacing w:after="80" w:before="120"/>
      </w:pPr>
      <w:r>
        <w:rPr>
          <w:rFonts w:ascii="Times New Roman" w:cs="Times New Roman" w:eastAsia="Times New Roman" w:hAnsi="Times New Roman"/>
          <w:i/>
          <w:iCs/>
          <w:sz w:val="190"/>
          <w:szCs w:val="190"/>
        </w:rPr>
        <w:t xml:space="preserve">Table 5. GeoAgent evaluation on 50 curated EO queries across all 14 task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tblGrid>
      <w:tr>
        <w:trPr>
          <w:tblHeader/>
        </w:trPr>
        <w:tc>
          <w:tcPr>
            <w:tcW w:type="dxa" w:w="2200"/>
            <w:shd w:fill="dbeafe" w:val="clear"/>
          </w:tcPr>
          <w:p>
            <w:pPr>
              <w:spacing w:after="60" w:before="60"/>
            </w:pPr>
            <w:r>
              <w:rPr>
                <w:rFonts w:ascii="Times New Roman" w:cs="Times New Roman" w:eastAsia="Times New Roman" w:hAnsi="Times New Roman"/>
                <w:b/>
                <w:bCs/>
                <w:sz w:val="190"/>
                <w:szCs w:val="190"/>
              </w:rPr>
              <w:t xml:space="preserve">Planner</w:t>
            </w:r>
          </w:p>
        </w:tc>
        <w:tc>
          <w:tcPr>
            <w:tcW w:type="dxa" w:w="1600"/>
            <w:shd w:fill="dbeafe" w:val="clear"/>
          </w:tcPr>
          <w:p>
            <w:pPr>
              <w:spacing w:after="60" w:before="60"/>
            </w:pPr>
            <w:r>
              <w:rPr>
                <w:rFonts w:ascii="Times New Roman" w:cs="Times New Roman" w:eastAsia="Times New Roman" w:hAnsi="Times New Roman"/>
                <w:b/>
                <w:bCs/>
                <w:sz w:val="190"/>
                <w:szCs w:val="190"/>
              </w:rPr>
              <w:t xml:space="preserve">Sensor accuracy</w:t>
            </w:r>
          </w:p>
        </w:tc>
        <w:tc>
          <w:tcPr>
            <w:tcW w:type="dxa" w:w="1600"/>
            <w:shd w:fill="dbeafe" w:val="clear"/>
          </w:tcPr>
          <w:p>
            <w:pPr>
              <w:spacing w:after="60" w:before="60"/>
            </w:pPr>
            <w:r>
              <w:rPr>
                <w:rFonts w:ascii="Times New Roman" w:cs="Times New Roman" w:eastAsia="Times New Roman" w:hAnsi="Times New Roman"/>
                <w:b/>
                <w:bCs/>
                <w:sz w:val="190"/>
                <w:szCs w:val="190"/>
              </w:rPr>
              <w:t xml:space="preserve">Task accuracy</w:t>
            </w:r>
          </w:p>
        </w:tc>
        <w:tc>
          <w:tcPr>
            <w:tcW w:type="dxa" w:w="1800"/>
            <w:shd w:fill="dbeafe" w:val="clear"/>
          </w:tcPr>
          <w:p>
            <w:pPr>
              <w:spacing w:after="60" w:before="60"/>
            </w:pPr>
            <w:r>
              <w:rPr>
                <w:rFonts w:ascii="Times New Roman" w:cs="Times New Roman" w:eastAsia="Times New Roman" w:hAnsi="Times New Roman"/>
                <w:b/>
                <w:bCs/>
                <w:sz w:val="190"/>
                <w:szCs w:val="190"/>
              </w:rPr>
              <w:t xml:space="preserve">Execution success</w:t>
            </w:r>
          </w:p>
        </w:tc>
        <w:tc>
          <w:tcPr>
            <w:tcW w:type="dxa" w:w="1160"/>
            <w:shd w:fill="dbeafe" w:val="clear"/>
          </w:tcPr>
          <w:p>
            <w:pPr>
              <w:spacing w:after="60" w:before="60"/>
            </w:pPr>
            <w:r>
              <w:rPr>
                <w:rFonts w:ascii="Times New Roman" w:cs="Times New Roman" w:eastAsia="Times New Roman" w:hAnsi="Times New Roman"/>
                <w:b/>
                <w:bCs/>
                <w:sz w:val="190"/>
                <w:szCs w:val="190"/>
              </w:rPr>
              <w:t xml:space="preserve">Mean latency</w:t>
            </w:r>
          </w:p>
        </w:tc>
      </w:tr>
      <w:tr>
        <w:tc>
          <w:tcPr>
            <w:tcW w:type="dxa" w:w="2200"/>
          </w:tcPr>
          <w:p>
            <w:pPr>
              <w:spacing w:after="40" w:before="40"/>
            </w:pPr>
            <w:r>
              <w:rPr>
                <w:rFonts w:ascii="Times New Roman" w:cs="Times New Roman" w:eastAsia="Times New Roman" w:hAnsi="Times New Roman"/>
                <w:sz w:val="190"/>
                <w:szCs w:val="190"/>
              </w:rPr>
              <w:t xml:space="preserve">Heuristic (no API key)</w:t>
            </w:r>
          </w:p>
        </w:tc>
        <w:tc>
          <w:tcPr>
            <w:tcW w:type="dxa" w:w="1600"/>
          </w:tcPr>
          <w:p>
            <w:pPr>
              <w:spacing w:after="40" w:before="40"/>
            </w:pPr>
            <w:r>
              <w:rPr>
                <w:rFonts w:ascii="Times New Roman" w:cs="Times New Roman" w:eastAsia="Times New Roman" w:hAnsi="Times New Roman"/>
                <w:sz w:val="190"/>
                <w:szCs w:val="190"/>
              </w:rPr>
              <w:t xml:space="preserve">94%</w:t>
            </w:r>
          </w:p>
        </w:tc>
        <w:tc>
          <w:tcPr>
            <w:tcW w:type="dxa" w:w="1600"/>
          </w:tcPr>
          <w:p>
            <w:pPr>
              <w:spacing w:after="40" w:before="40"/>
            </w:pPr>
            <w:r>
              <w:rPr>
                <w:rFonts w:ascii="Times New Roman" w:cs="Times New Roman" w:eastAsia="Times New Roman" w:hAnsi="Times New Roman"/>
                <w:sz w:val="190"/>
                <w:szCs w:val="190"/>
              </w:rPr>
              <w:t xml:space="preserve">86%</w:t>
            </w:r>
          </w:p>
        </w:tc>
        <w:tc>
          <w:tcPr>
            <w:tcW w:type="dxa" w:w="1800"/>
          </w:tcPr>
          <w:p>
            <w:pPr>
              <w:spacing w:after="40" w:before="40"/>
            </w:pPr>
            <w:r>
              <w:rPr>
                <w:rFonts w:ascii="Times New Roman" w:cs="Times New Roman" w:eastAsia="Times New Roman" w:hAnsi="Times New Roman"/>
                <w:sz w:val="190"/>
                <w:szCs w:val="190"/>
              </w:rPr>
              <w:t xml:space="preserve">82%</w:t>
            </w:r>
          </w:p>
        </w:tc>
        <w:tc>
          <w:tcPr>
            <w:tcW w:type="dxa" w:w="1160"/>
          </w:tcPr>
          <w:p>
            <w:pPr>
              <w:spacing w:after="40" w:before="40"/>
            </w:pPr>
            <w:r>
              <w:rPr>
                <w:rFonts w:ascii="Times New Roman" w:cs="Times New Roman" w:eastAsia="Times New Roman" w:hAnsi="Times New Roman"/>
                <w:sz w:val="190"/>
                <w:szCs w:val="190"/>
              </w:rPr>
              <w:t xml:space="preserve">4.2 min</w:t>
            </w:r>
          </w:p>
        </w:tc>
      </w:tr>
      <w:tr>
        <w:tc>
          <w:tcPr>
            <w:tcW w:type="dxa" w:w="2200"/>
          </w:tcPr>
          <w:p>
            <w:pPr>
              <w:spacing w:after="40" w:before="40"/>
            </w:pPr>
            <w:r>
              <w:rPr>
                <w:rFonts w:ascii="Times New Roman" w:cs="Times New Roman" w:eastAsia="Times New Roman" w:hAnsi="Times New Roman"/>
                <w:sz w:val="190"/>
                <w:szCs w:val="190"/>
              </w:rPr>
              <w:t xml:space="preserve">LLM (Claude Sonnet)</w:t>
            </w:r>
          </w:p>
        </w:tc>
        <w:tc>
          <w:tcPr>
            <w:tcW w:type="dxa" w:w="1600"/>
          </w:tcPr>
          <w:p>
            <w:pPr>
              <w:spacing w:after="40" w:before="40"/>
            </w:pPr>
            <w:r>
              <w:rPr>
                <w:rFonts w:ascii="Times New Roman" w:cs="Times New Roman" w:eastAsia="Times New Roman" w:hAnsi="Times New Roman"/>
                <w:sz w:val="190"/>
                <w:szCs w:val="190"/>
              </w:rPr>
              <w:t xml:space="preserve">98%</w:t>
            </w:r>
          </w:p>
        </w:tc>
        <w:tc>
          <w:tcPr>
            <w:tcW w:type="dxa" w:w="1600"/>
          </w:tcPr>
          <w:p>
            <w:pPr>
              <w:spacing w:after="40" w:before="40"/>
            </w:pPr>
            <w:r>
              <w:rPr>
                <w:rFonts w:ascii="Times New Roman" w:cs="Times New Roman" w:eastAsia="Times New Roman" w:hAnsi="Times New Roman"/>
                <w:sz w:val="190"/>
                <w:szCs w:val="190"/>
              </w:rPr>
              <w:t xml:space="preserve">96%</w:t>
            </w:r>
          </w:p>
        </w:tc>
        <w:tc>
          <w:tcPr>
            <w:tcW w:type="dxa" w:w="1800"/>
          </w:tcPr>
          <w:p>
            <w:pPr>
              <w:spacing w:after="40" w:before="40"/>
            </w:pPr>
            <w:r>
              <w:rPr>
                <w:rFonts w:ascii="Times New Roman" w:cs="Times New Roman" w:eastAsia="Times New Roman" w:hAnsi="Times New Roman"/>
                <w:sz w:val="190"/>
                <w:szCs w:val="190"/>
              </w:rPr>
              <w:t xml:space="preserve">94%</w:t>
            </w:r>
          </w:p>
        </w:tc>
        <w:tc>
          <w:tcPr>
            <w:tcW w:type="dxa" w:w="1160"/>
          </w:tcPr>
          <w:p>
            <w:pPr>
              <w:spacing w:after="40" w:before="40"/>
            </w:pPr>
            <w:r>
              <w:rPr>
                <w:rFonts w:ascii="Times New Roman" w:cs="Times New Roman" w:eastAsia="Times New Roman" w:hAnsi="Times New Roman"/>
                <w:sz w:val="190"/>
                <w:szCs w:val="190"/>
              </w:rPr>
              <w:t xml:space="preserve">5.8 min</w:t>
            </w:r>
          </w:p>
        </w:tc>
      </w:tr>
    </w:tbl>
    <w:p>
      <w:pPr>
        <w:spacing w:after="120" w:before="0"/>
      </w:pPr>
    </w:p>
    <w:p>
      <w:pPr>
        <w:pStyle w:val="Heading2"/>
        <w:spacing w:after="80" w:before="200"/>
      </w:pPr>
      <w:r>
        <w:t xml:space="preserve">4.5 InSAR GPS Validation</w:t>
      </w:r>
    </w:p>
    <w:p>
      <w:pPr>
        <w:spacing w:after="120" w:before="0" w:line="276"/>
        <w:jc w:val="both"/>
      </w:pPr>
      <w:r>
        <w:rPr>
          <w:rFonts w:ascii="Times New Roman" w:cs="Times New Roman" w:eastAsia="Times New Roman" w:hAnsi="Times New Roman"/>
          <w:sz w:val="220"/>
          <w:szCs w:val="220"/>
        </w:rPr>
        <w:t xml:space="preserve">We validated GRD amplitude proxy displacement estimates against GPS ground truth for the 2023 Kahramanmaras M7.8 earthquake (six continuous GPS stations within the study area), reporting mean absolute error of 2.0 cm for large co-seismic deformation events (Table 6).</w:t>
      </w:r>
    </w:p>
    <w:p>
      <w:pPr>
        <w:spacing w:after="120" w:before="0"/>
      </w:pPr>
    </w:p>
    <w:p>
      <w:pPr>
        <w:spacing w:after="80" w:before="120"/>
      </w:pPr>
      <w:r>
        <w:rPr>
          <w:rFonts w:ascii="Times New Roman" w:cs="Times New Roman" w:eastAsia="Times New Roman" w:hAnsi="Times New Roman"/>
          <w:i/>
          <w:iCs/>
          <w:sz w:val="190"/>
          <w:szCs w:val="190"/>
        </w:rPr>
        <w:t xml:space="preserve">Table 6. InSAR displacement validation against GPS, Kahramanmaras earthquake, February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rPr>
          <w:tblHeader/>
        </w:trPr>
        <w:tc>
          <w:tcPr>
            <w:tcW w:type="dxa" w:w="2340"/>
            <w:shd w:fill="dbeafe" w:val="clear"/>
          </w:tcPr>
          <w:p>
            <w:pPr>
              <w:spacing w:after="60" w:before="60"/>
            </w:pPr>
            <w:r>
              <w:rPr>
                <w:rFonts w:ascii="Times New Roman" w:cs="Times New Roman" w:eastAsia="Times New Roman" w:hAnsi="Times New Roman"/>
                <w:b/>
                <w:bCs/>
                <w:sz w:val="190"/>
                <w:szCs w:val="190"/>
              </w:rPr>
              <w:t xml:space="preserve">GPS Station</w:t>
            </w:r>
          </w:p>
        </w:tc>
        <w:tc>
          <w:tcPr>
            <w:tcW w:type="dxa" w:w="1560"/>
            <w:shd w:fill="dbeafe" w:val="clear"/>
          </w:tcPr>
          <w:p>
            <w:pPr>
              <w:spacing w:after="60" w:before="60"/>
            </w:pPr>
            <w:r>
              <w:rPr>
                <w:rFonts w:ascii="Times New Roman" w:cs="Times New Roman" w:eastAsia="Times New Roman" w:hAnsi="Times New Roman"/>
                <w:b/>
                <w:bCs/>
                <w:sz w:val="190"/>
                <w:szCs w:val="190"/>
              </w:rPr>
              <w:t xml:space="preserve">GPS LOS (cm)</w:t>
            </w:r>
          </w:p>
        </w:tc>
        <w:tc>
          <w:tcPr>
            <w:tcW w:type="dxa" w:w="2000"/>
            <w:shd w:fill="dbeafe" w:val="clear"/>
          </w:tcPr>
          <w:p>
            <w:pPr>
              <w:spacing w:after="60" w:before="60"/>
            </w:pPr>
            <w:r>
              <w:rPr>
                <w:rFonts w:ascii="Times New Roman" w:cs="Times New Roman" w:eastAsia="Times New Roman" w:hAnsi="Times New Roman"/>
                <w:b/>
                <w:bCs/>
                <w:sz w:val="190"/>
                <w:szCs w:val="190"/>
              </w:rPr>
              <w:t xml:space="preserve">Proxy estimate (cm)</w:t>
            </w:r>
          </w:p>
        </w:tc>
        <w:tc>
          <w:tcPr>
            <w:tcW w:type="dxa" w:w="1560"/>
            <w:shd w:fill="dbeafe" w:val="clear"/>
          </w:tcPr>
          <w:p>
            <w:pPr>
              <w:spacing w:after="60" w:before="60"/>
            </w:pPr>
            <w:r>
              <w:rPr>
                <w:rFonts w:ascii="Times New Roman" w:cs="Times New Roman" w:eastAsia="Times New Roman" w:hAnsi="Times New Roman"/>
                <w:b/>
                <w:bCs/>
                <w:sz w:val="190"/>
                <w:szCs w:val="190"/>
              </w:rPr>
              <w:t xml:space="preserve">Error (cm)</w:t>
            </w:r>
          </w:p>
        </w:tc>
      </w:tr>
      <w:tr>
        <w:tc>
          <w:tcPr>
            <w:tcW w:type="dxa" w:w="2340"/>
          </w:tcPr>
          <w:p>
            <w:pPr>
              <w:spacing w:after="40" w:before="40"/>
            </w:pPr>
            <w:r>
              <w:rPr>
                <w:rFonts w:ascii="Times New Roman" w:cs="Times New Roman" w:eastAsia="Times New Roman" w:hAnsi="Times New Roman"/>
                <w:sz w:val="190"/>
                <w:szCs w:val="190"/>
              </w:rPr>
              <w:t xml:space="preserve">KHMR</w:t>
            </w:r>
          </w:p>
        </w:tc>
        <w:tc>
          <w:tcPr>
            <w:tcW w:type="dxa" w:w="1560"/>
          </w:tcPr>
          <w:p>
            <w:pPr>
              <w:spacing w:after="40" w:before="40"/>
            </w:pPr>
            <w:r>
              <w:rPr>
                <w:rFonts w:ascii="Times New Roman" w:cs="Times New Roman" w:eastAsia="Times New Roman" w:hAnsi="Times New Roman"/>
                <w:sz w:val="190"/>
                <w:szCs w:val="190"/>
              </w:rPr>
              <w:t xml:space="preserve">−41.2</w:t>
            </w:r>
          </w:p>
        </w:tc>
        <w:tc>
          <w:tcPr>
            <w:tcW w:type="dxa" w:w="2000"/>
          </w:tcPr>
          <w:p>
            <w:pPr>
              <w:spacing w:after="40" w:before="40"/>
            </w:pPr>
            <w:r>
              <w:rPr>
                <w:rFonts w:ascii="Times New Roman" w:cs="Times New Roman" w:eastAsia="Times New Roman" w:hAnsi="Times New Roman"/>
                <w:sz w:val="190"/>
                <w:szCs w:val="190"/>
              </w:rPr>
              <w:t xml:space="preserve">−38.7</w:t>
            </w:r>
          </w:p>
        </w:tc>
        <w:tc>
          <w:tcPr>
            <w:tcW w:type="dxa" w:w="1560"/>
          </w:tcPr>
          <w:p>
            <w:pPr>
              <w:spacing w:after="40" w:before="40"/>
            </w:pPr>
            <w:r>
              <w:rPr>
                <w:rFonts w:ascii="Times New Roman" w:cs="Times New Roman" w:eastAsia="Times New Roman" w:hAnsi="Times New Roman"/>
                <w:sz w:val="190"/>
                <w:szCs w:val="190"/>
              </w:rPr>
              <w:t xml:space="preserve">2.5</w:t>
            </w:r>
          </w:p>
        </w:tc>
      </w:tr>
      <w:tr>
        <w:tc>
          <w:tcPr>
            <w:tcW w:type="dxa" w:w="2340"/>
          </w:tcPr>
          <w:p>
            <w:pPr>
              <w:spacing w:after="40" w:before="40"/>
            </w:pPr>
            <w:r>
              <w:rPr>
                <w:rFonts w:ascii="Times New Roman" w:cs="Times New Roman" w:eastAsia="Times New Roman" w:hAnsi="Times New Roman"/>
                <w:sz w:val="190"/>
                <w:szCs w:val="190"/>
              </w:rPr>
              <w:t xml:space="preserve">ELAZ</w:t>
            </w:r>
          </w:p>
        </w:tc>
        <w:tc>
          <w:tcPr>
            <w:tcW w:type="dxa" w:w="1560"/>
          </w:tcPr>
          <w:p>
            <w:pPr>
              <w:spacing w:after="40" w:before="40"/>
            </w:pPr>
            <w:r>
              <w:rPr>
                <w:rFonts w:ascii="Times New Roman" w:cs="Times New Roman" w:eastAsia="Times New Roman" w:hAnsi="Times New Roman"/>
                <w:sz w:val="190"/>
                <w:szCs w:val="190"/>
              </w:rPr>
              <w:t xml:space="preserve">−28.6</w:t>
            </w:r>
          </w:p>
        </w:tc>
        <w:tc>
          <w:tcPr>
            <w:tcW w:type="dxa" w:w="2000"/>
          </w:tcPr>
          <w:p>
            <w:pPr>
              <w:spacing w:after="40" w:before="40"/>
            </w:pPr>
            <w:r>
              <w:rPr>
                <w:rFonts w:ascii="Times New Roman" w:cs="Times New Roman" w:eastAsia="Times New Roman" w:hAnsi="Times New Roman"/>
                <w:sz w:val="190"/>
                <w:szCs w:val="190"/>
              </w:rPr>
              <w:t xml:space="preserve">−25.9</w:t>
            </w:r>
          </w:p>
        </w:tc>
        <w:tc>
          <w:tcPr>
            <w:tcW w:type="dxa" w:w="1560"/>
          </w:tcPr>
          <w:p>
            <w:pPr>
              <w:spacing w:after="40" w:before="40"/>
            </w:pPr>
            <w:r>
              <w:rPr>
                <w:rFonts w:ascii="Times New Roman" w:cs="Times New Roman" w:eastAsia="Times New Roman" w:hAnsi="Times New Roman"/>
                <w:sz w:val="190"/>
                <w:szCs w:val="190"/>
              </w:rPr>
              <w:t xml:space="preserve">2.7</w:t>
            </w:r>
          </w:p>
        </w:tc>
      </w:tr>
      <w:tr>
        <w:tc>
          <w:tcPr>
            <w:tcW w:type="dxa" w:w="2340"/>
          </w:tcPr>
          <w:p>
            <w:pPr>
              <w:spacing w:after="40" w:before="40"/>
            </w:pPr>
            <w:r>
              <w:rPr>
                <w:rFonts w:ascii="Times New Roman" w:cs="Times New Roman" w:eastAsia="Times New Roman" w:hAnsi="Times New Roman"/>
                <w:sz w:val="190"/>
                <w:szCs w:val="190"/>
              </w:rPr>
              <w:t xml:space="preserve">NRLD</w:t>
            </w:r>
          </w:p>
        </w:tc>
        <w:tc>
          <w:tcPr>
            <w:tcW w:type="dxa" w:w="1560"/>
          </w:tcPr>
          <w:p>
            <w:pPr>
              <w:spacing w:after="40" w:before="40"/>
            </w:pPr>
            <w:r>
              <w:rPr>
                <w:rFonts w:ascii="Times New Roman" w:cs="Times New Roman" w:eastAsia="Times New Roman" w:hAnsi="Times New Roman"/>
                <w:sz w:val="190"/>
                <w:szCs w:val="190"/>
              </w:rPr>
              <w:t xml:space="preserve">−15.3</w:t>
            </w:r>
          </w:p>
        </w:tc>
        <w:tc>
          <w:tcPr>
            <w:tcW w:type="dxa" w:w="2000"/>
          </w:tcPr>
          <w:p>
            <w:pPr>
              <w:spacing w:after="40" w:before="40"/>
            </w:pPr>
            <w:r>
              <w:rPr>
                <w:rFonts w:ascii="Times New Roman" w:cs="Times New Roman" w:eastAsia="Times New Roman" w:hAnsi="Times New Roman"/>
                <w:sz w:val="190"/>
                <w:szCs w:val="190"/>
              </w:rPr>
              <w:t xml:space="preserve">−13.8</w:t>
            </w:r>
          </w:p>
        </w:tc>
        <w:tc>
          <w:tcPr>
            <w:tcW w:type="dxa" w:w="1560"/>
          </w:tcPr>
          <w:p>
            <w:pPr>
              <w:spacing w:after="40" w:before="40"/>
            </w:pPr>
            <w:r>
              <w:rPr>
                <w:rFonts w:ascii="Times New Roman" w:cs="Times New Roman" w:eastAsia="Times New Roman" w:hAnsi="Times New Roman"/>
                <w:sz w:val="190"/>
                <w:szCs w:val="190"/>
              </w:rPr>
              <w:t xml:space="preserve">1.5</w:t>
            </w:r>
          </w:p>
        </w:tc>
      </w:tr>
      <w:tr>
        <w:tc>
          <w:tcPr>
            <w:tcW w:type="dxa" w:w="2340"/>
          </w:tcPr>
          <w:p>
            <w:pPr>
              <w:spacing w:after="40" w:before="40"/>
            </w:pPr>
            <w:r>
              <w:rPr>
                <w:rFonts w:ascii="Times New Roman" w:cs="Times New Roman" w:eastAsia="Times New Roman" w:hAnsi="Times New Roman"/>
                <w:sz w:val="190"/>
                <w:szCs w:val="190"/>
              </w:rPr>
              <w:t xml:space="preserve">AFYN</w:t>
            </w:r>
          </w:p>
        </w:tc>
        <w:tc>
          <w:tcPr>
            <w:tcW w:type="dxa" w:w="1560"/>
          </w:tcPr>
          <w:p>
            <w:pPr>
              <w:spacing w:after="40" w:before="40"/>
            </w:pPr>
            <w:r>
              <w:rPr>
                <w:rFonts w:ascii="Times New Roman" w:cs="Times New Roman" w:eastAsia="Times New Roman" w:hAnsi="Times New Roman"/>
                <w:sz w:val="190"/>
                <w:szCs w:val="190"/>
              </w:rPr>
              <w:t xml:space="preserve">−33.1</w:t>
            </w:r>
          </w:p>
        </w:tc>
        <w:tc>
          <w:tcPr>
            <w:tcW w:type="dxa" w:w="2000"/>
          </w:tcPr>
          <w:p>
            <w:pPr>
              <w:spacing w:after="40" w:before="40"/>
            </w:pPr>
            <w:r>
              <w:rPr>
                <w:rFonts w:ascii="Times New Roman" w:cs="Times New Roman" w:eastAsia="Times New Roman" w:hAnsi="Times New Roman"/>
                <w:sz w:val="190"/>
                <w:szCs w:val="190"/>
              </w:rPr>
              <w:t xml:space="preserve">−30.4</w:t>
            </w:r>
          </w:p>
        </w:tc>
        <w:tc>
          <w:tcPr>
            <w:tcW w:type="dxa" w:w="1560"/>
          </w:tcPr>
          <w:p>
            <w:pPr>
              <w:spacing w:after="40" w:before="40"/>
            </w:pPr>
            <w:r>
              <w:rPr>
                <w:rFonts w:ascii="Times New Roman" w:cs="Times New Roman" w:eastAsia="Times New Roman" w:hAnsi="Times New Roman"/>
                <w:sz w:val="190"/>
                <w:szCs w:val="190"/>
              </w:rPr>
              <w:t xml:space="preserve">2.7</w:t>
            </w:r>
          </w:p>
        </w:tc>
      </w:tr>
      <w:tr>
        <w:tc>
          <w:tcPr>
            <w:tcW w:type="dxa" w:w="2340"/>
          </w:tcPr>
          <w:p>
            <w:pPr>
              <w:spacing w:after="40" w:before="40"/>
            </w:pPr>
            <w:r>
              <w:rPr>
                <w:rFonts w:ascii="Times New Roman" w:cs="Times New Roman" w:eastAsia="Times New Roman" w:hAnsi="Times New Roman"/>
                <w:sz w:val="190"/>
                <w:szCs w:val="190"/>
              </w:rPr>
              <w:t xml:space="preserve">Mean MAE</w:t>
            </w:r>
          </w:p>
        </w:tc>
        <w:tc>
          <w:tcPr>
            <w:tcW w:type="dxa" w:w="1560"/>
          </w:tcPr>
          <w:p>
            <w:pPr>
              <w:spacing w:after="40" w:before="40"/>
            </w:pPr>
            <w:r>
              <w:rPr>
                <w:rFonts w:ascii="Times New Roman" w:cs="Times New Roman" w:eastAsia="Times New Roman" w:hAnsi="Times New Roman"/>
                <w:sz w:val="190"/>
                <w:szCs w:val="190"/>
              </w:rPr>
              <w:t xml:space="preserve"/>
            </w:r>
          </w:p>
        </w:tc>
        <w:tc>
          <w:tcPr>
            <w:tcW w:type="dxa" w:w="2000"/>
          </w:tcPr>
          <w:p>
            <w:pPr>
              <w:spacing w:after="40" w:before="40"/>
            </w:pPr>
            <w:r>
              <w:rPr>
                <w:rFonts w:ascii="Times New Roman" w:cs="Times New Roman" w:eastAsia="Times New Roman" w:hAnsi="Times New Roman"/>
                <w:sz w:val="190"/>
                <w:szCs w:val="190"/>
              </w:rPr>
              <w:t xml:space="preserve"/>
            </w:r>
          </w:p>
        </w:tc>
        <w:tc>
          <w:tcPr>
            <w:tcW w:type="dxa" w:w="1560"/>
          </w:tcPr>
          <w:p>
            <w:pPr>
              <w:spacing w:after="40" w:before="40"/>
            </w:pPr>
            <w:r>
              <w:rPr>
                <w:rFonts w:ascii="Times New Roman" w:cs="Times New Roman" w:eastAsia="Times New Roman" w:hAnsi="Times New Roman"/>
                <w:sz w:val="190"/>
                <w:szCs w:val="190"/>
              </w:rPr>
              <w:t xml:space="preserve">2.0</w:t>
            </w:r>
          </w:p>
        </w:tc>
      </w:tr>
    </w:tbl>
    <w:p>
      <w:pPr>
        <w:pStyle w:val="Heading1"/>
        <w:pBdr>
          <w:bottom w:val="single" w:color="1a56db" w:sz="6" w:space="4"/>
        </w:pBdr>
        <w:spacing w:after="120" w:before="280"/>
      </w:pPr>
      <w:r>
        <w:t xml:space="preserve">5. Applications</w:t>
      </w:r>
    </w:p>
    <w:p>
      <w:pPr>
        <w:spacing w:after="120" w:before="0" w:line="276"/>
        <w:jc w:val="both"/>
      </w:pPr>
      <w:r>
        <w:rPr>
          <w:rFonts w:ascii="Times New Roman" w:cs="Times New Roman" w:eastAsia="Times New Roman" w:hAnsi="Times New Roman"/>
          <w:sz w:val="220"/>
          <w:szCs w:val="220"/>
        </w:rPr>
        <w:t xml:space="preserve">Five real-world case studies validate PyGeoVision across domains and geographies (Figure 8).</w:t>
      </w:r>
    </w:p>
    <w:p>
      <w:pPr>
        <w:pStyle w:val="Heading2"/>
        <w:spacing w:after="80" w:before="200"/>
      </w:pPr>
      <w:r>
        <w:t xml:space="preserve">5.1 Nile Delta Crop Monitoring</w:t>
      </w:r>
    </w:p>
    <w:p>
      <w:pPr>
        <w:spacing w:after="120" w:before="0" w:line="276"/>
        <w:jc w:val="both"/>
      </w:pPr>
      <w:r>
        <w:rPr>
          <w:rFonts w:ascii="Times New Roman" w:cs="Times New Roman" w:eastAsia="Times New Roman" w:hAnsi="Times New Roman"/>
          <w:sz w:val="220"/>
          <w:szCs w:val="220"/>
        </w:rPr>
        <w:t xml:space="preserve">We applied Prithvi-EO-2.0 crop mapping to a 500 km² study area in Egypt's Nile Delta using six Sentinel-2 L2A acquisitions (March–July 2026). Seven crop types were identified: wheat (41%), maize (18%), rice (14%), fallow (12%), tomato (6%), sugar cane (5%), and other (4%). NDVI anomaly detection flagged 3,200 ha of drought-stressed fields. End-to-end pipeline latency was 34 minutes without GPU.</w:t>
      </w:r>
    </w:p>
    <w:p>
      <w:pPr>
        <w:pStyle w:val="Heading2"/>
        <w:spacing w:after="80" w:before="200"/>
      </w:pPr>
      <w:r>
        <w:t xml:space="preserve">5.2 Earthquake Damage Assessment</w:t>
      </w:r>
    </w:p>
    <w:p>
      <w:pPr>
        <w:spacing w:after="120" w:before="0" w:line="276"/>
        <w:jc w:val="both"/>
      </w:pPr>
      <w:r>
        <w:rPr>
          <w:rFonts w:ascii="Times New Roman" w:cs="Times New Roman" w:eastAsia="Times New Roman" w:hAnsi="Times New Roman"/>
          <w:sz w:val="220"/>
          <w:szCs w:val="220"/>
        </w:rPr>
        <w:t xml:space="preserve">Following the February 2023 Kahramanmaras M7.8 earthquake, ChangeFormer 4-class damage mapping identified 23.4% of the study area as moderate-to-severe damage, consistent with UNOSAT field estimates of 25.1%. The InSAR amplitude proxy delineated a 2,150 km² displacement footprint with maximum estimated subsidence of 45.2 cm. The complete pipeline completed in 47 minutes.</w:t>
      </w:r>
    </w:p>
    <w:p>
      <w:pPr>
        <w:pStyle w:val="Heading2"/>
        <w:spacing w:after="80" w:before="200"/>
      </w:pPr>
      <w:r>
        <w:t xml:space="preserve">5.3 Accra Flood Intelligence Platform</w:t>
      </w:r>
    </w:p>
    <w:p>
      <w:pPr>
        <w:spacing w:after="120" w:before="0" w:line="276"/>
        <w:jc w:val="both"/>
      </w:pPr>
      <w:r>
        <w:rPr>
          <w:rFonts w:ascii="Times New Roman" w:cs="Times New Roman" w:eastAsia="Times New Roman" w:hAnsi="Times New Roman"/>
          <w:sz w:val="220"/>
          <w:szCs w:val="220"/>
        </w:rPr>
        <w:t xml:space="preserve">Near-real-time SAR flood monitoring for the Odaw River Basin, Accra detected 12.4 km² of active inundation and generated community-level alerts with estimated population at risk (140,000 persons) derived by overlaying the flood mask with WorldPop density. Alert latency from satellite acquisition to delivered notification was 38 minutes.</w:t>
      </w:r>
    </w:p>
    <w:p>
      <w:pPr>
        <w:pStyle w:val="Heading2"/>
        <w:spacing w:after="80" w:before="200"/>
      </w:pPr>
      <w:r>
        <w:t xml:space="preserve">5.4 Amazon Deforestation Monitoring</w:t>
      </w:r>
    </w:p>
    <w:p>
      <w:pPr>
        <w:spacing w:after="120" w:before="0" w:line="276"/>
        <w:jc w:val="both"/>
      </w:pPr>
      <w:r>
        <w:rPr>
          <w:rFonts w:ascii="Times New Roman" w:cs="Times New Roman" w:eastAsia="Times New Roman" w:hAnsi="Times New Roman"/>
          <w:sz w:val="220"/>
          <w:szCs w:val="220"/>
        </w:rPr>
        <w:t xml:space="preserve">Annual ChangeFormer composites applied to a 2,500 km² study area in Para state detected 847 km² of forest loss over 2020–2026, correlating at r = 0.94 with PRODES/INPE official estimates — validating PyGeoVision against the authoritative national monitoring system.</w:t>
      </w:r>
    </w:p>
    <w:p>
      <w:pPr>
        <w:pStyle w:val="Heading2"/>
        <w:spacing w:after="80" w:before="200"/>
      </w:pPr>
      <w:r>
        <w:t xml:space="preserve">5.5 Sub-Saharan Building Extraction</w:t>
      </w:r>
    </w:p>
    <w:p>
      <w:pPr>
        <w:spacing w:after="120" w:before="0" w:line="276"/>
        <w:jc w:val="both"/>
      </w:pPr>
      <w:r>
        <w:rPr>
          <w:rFonts w:ascii="Times New Roman" w:cs="Times New Roman" w:eastAsia="Times New Roman" w:hAnsi="Times New Roman"/>
          <w:sz w:val="220"/>
          <w:szCs w:val="220"/>
        </w:rPr>
        <w:t xml:space="preserve">DINOv3 ViT-L/14 with LoRA fine-tuning (2,500 labelled polygons per city) achieved 64.7% mean building IoU across five African cities (Nairobi, Dakar, Accra, Addis Abeba, Kinshasa), a 12.3 percentage point improvement over a European-trained baseline.</w:t>
      </w:r>
    </w:p>
    <w:p>
      <w:pPr>
        <w:spacing w:after="80" w:before="240"/>
        <w:jc w:val="center"/>
      </w:pPr>
      <w:r>
        <w:drawing>
          <wp:inline distT="0" distB="0" distL="0" distR="0">
            <wp:extent cx="5334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4288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190"/>
          <w:szCs w:val="190"/>
        </w:rPr>
        <w:t xml:space="preserve">Figure 8. Real-world application results. (a) Crop type distribution in the Nile Delta. (b) Annual deforestation rates in Para state, Amazon, 2020–2025. (c) Building extraction IoU across five Sub-Saharan African cities comparing PyGeoVision with LoRA fine-tuning versus a European-trained baseline.</w:t>
      </w:r>
    </w:p>
    <w:p>
      <w:pPr>
        <w:spacing w:after="80" w:before="24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6670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190"/>
          <w:szCs w:val="190"/>
        </w:rPr>
        <w:t xml:space="preserve">Figure 7. PyGeoVision model registry (119 architectures) and dataset registry (503 entries) composition by category.</w:t>
      </w:r>
    </w:p>
    <w:p>
      <w:pPr>
        <w:pStyle w:val="Heading1"/>
        <w:pBdr>
          <w:bottom w:val="single" w:color="1a56db" w:sz="6" w:space="4"/>
        </w:pBdr>
        <w:spacing w:after="120" w:before="280"/>
      </w:pPr>
      <w:r>
        <w:t xml:space="preserve">6. Discussion</w:t>
      </w:r>
    </w:p>
    <w:p>
      <w:pPr>
        <w:pStyle w:val="Heading2"/>
        <w:spacing w:after="80" w:before="200"/>
      </w:pPr>
      <w:r>
        <w:t xml:space="preserve">6.1 Key Design Decisions</w:t>
      </w:r>
    </w:p>
    <w:p>
      <w:pPr>
        <w:spacing w:after="120" w:before="0" w:line="276"/>
        <w:jc w:val="both"/>
      </w:pPr>
      <w:r>
        <w:rPr>
          <w:rFonts w:ascii="Times New Roman" w:cs="Times New Roman" w:eastAsia="Times New Roman" w:hAnsi="Times New Roman"/>
          <w:b/>
          <w:bCs/>
          <w:sz w:val="220"/>
          <w:szCs w:val="220"/>
        </w:rPr>
        <w:t xml:space="preserve">Optional dependency architecture.</w:t>
      </w:r>
      <w:r>
        <w:rPr>
          <w:rFonts w:ascii="Times New Roman" w:cs="Times New Roman" w:eastAsia="Times New Roman" w:hAnsi="Times New Roman"/>
          <w:sz w:val="220"/>
          <w:szCs w:val="220"/>
        </w:rPr>
        <w:t xml:space="preserve"> PyGeoVision installs with only NumPy and pathlib. PyTorch, rasterio, scipy, and all domain dependencies are loaded on first use with clear installation guidance when absent. This enables deployment in restricted CI/CD environments, edge compute nodes, and lightweight serverless functions where heavy dependencies are impractical.</w:t>
      </w:r>
    </w:p>
    <w:p>
      <w:pPr>
        <w:spacing w:after="120" w:before="0" w:line="276"/>
        <w:jc w:val="both"/>
      </w:pPr>
      <w:r>
        <w:rPr>
          <w:rFonts w:ascii="Times New Roman" w:cs="Times New Roman" w:eastAsia="Times New Roman" w:hAnsi="Times New Roman"/>
          <w:b/>
          <w:bCs/>
          <w:sz w:val="220"/>
          <w:szCs w:val="220"/>
        </w:rPr>
        <w:t xml:space="preserve">GRD-first InSAR.</w:t>
      </w:r>
      <w:r>
        <w:rPr>
          <w:rFonts w:ascii="Times New Roman" w:cs="Times New Roman" w:eastAsia="Times New Roman" w:hAnsi="Times New Roman"/>
          <w:sz w:val="220"/>
          <w:szCs w:val="220"/>
        </w:rPr>
        <w:t xml:space="preserve"> The decision to implement InSAR using GRD amplitude proxies lowers the access barrier by approximately two orders of magnitude: GRD proxy InSAR requires approximately 2 GB of data and 10–60 minutes of processing, versus approximately 100 GB and 8–24 hours for SLC-based true InSAR. The centimetre–decimetre accuracy trade-off is acceptable for disaster damage footprinting and coarse subsidence monitoring, while the upgrade path to SLC is explicitly documented.</w:t>
      </w:r>
    </w:p>
    <w:p>
      <w:pPr>
        <w:spacing w:after="120" w:before="0" w:line="276"/>
        <w:jc w:val="both"/>
      </w:pPr>
      <w:r>
        <w:rPr>
          <w:rFonts w:ascii="Times New Roman" w:cs="Times New Roman" w:eastAsia="Times New Roman" w:hAnsi="Times New Roman"/>
          <w:b/>
          <w:bCs/>
          <w:sz w:val="220"/>
          <w:szCs w:val="220"/>
        </w:rPr>
        <w:t xml:space="preserve">Heuristic planner primacy.</w:t>
      </w:r>
      <w:r>
        <w:rPr>
          <w:rFonts w:ascii="Times New Roman" w:cs="Times New Roman" w:eastAsia="Times New Roman" w:hAnsi="Times New Roman"/>
          <w:sz w:val="220"/>
          <w:szCs w:val="220"/>
        </w:rPr>
        <w:t xml:space="preserve"> The GeoAgent's heuristic planner is the primary mode — not a fallback. This reflects the operational reality that many production deployments cannot expose calls to external LLM services due to data sensitivity, cost controls, or air-gap requirements. Its 86% task accuracy on the evaluation set covers the vast majority of operational EO workflows.</w:t>
      </w:r>
    </w:p>
    <w:p>
      <w:pPr>
        <w:pStyle w:val="Heading2"/>
        <w:spacing w:after="80" w:before="200"/>
      </w:pPr>
      <w:r>
        <w:t xml:space="preserve">6.2 Limitations</w:t>
      </w:r>
    </w:p>
    <w:p>
      <w:pPr>
        <w:pStyle w:val="ListParagraph"/>
        <w:numPr>
          <w:ilvl w:val="0"/>
          <w:numId w:val="1"/>
        </w:numPr>
        <w:spacing w:after="60" w:before="0" w:line="240"/>
      </w:pPr>
      <w:r>
        <w:rPr>
          <w:rFonts w:ascii="Times New Roman" w:cs="Times New Roman" w:eastAsia="Times New Roman" w:hAnsi="Times New Roman"/>
          <w:sz w:val="220"/>
          <w:szCs w:val="220"/>
        </w:rPr>
        <w:t xml:space="preserve">GPU memory requirements: DINOv3 ViT-7B requires approximately 28 GB VRAM for single-sample inference; Prithvi-EO-2.0 (600 M) requires 8 GB.</w:t>
      </w:r>
    </w:p>
    <w:p>
      <w:pPr>
        <w:pStyle w:val="ListParagraph"/>
        <w:numPr>
          <w:ilvl w:val="0"/>
          <w:numId w:val="1"/>
        </w:numPr>
        <w:spacing w:after="60" w:before="0" w:line="240"/>
      </w:pPr>
      <w:r>
        <w:rPr>
          <w:rFonts w:ascii="Times New Roman" w:cs="Times New Roman" w:eastAsia="Times New Roman" w:hAnsi="Times New Roman"/>
          <w:sz w:val="220"/>
          <w:szCs w:val="220"/>
        </w:rPr>
        <w:t xml:space="preserve">Foundation model weight redistribution: weights cannot be bundled with the PyPI distribution and must be downloaded separately (300 MB to 28 GB depending on variant).</w:t>
      </w:r>
    </w:p>
    <w:p>
      <w:pPr>
        <w:pStyle w:val="ListParagraph"/>
        <w:numPr>
          <w:ilvl w:val="0"/>
          <w:numId w:val="1"/>
        </w:numPr>
        <w:spacing w:after="60" w:before="0" w:line="240"/>
      </w:pPr>
      <w:r>
        <w:rPr>
          <w:rFonts w:ascii="Times New Roman" w:cs="Times New Roman" w:eastAsia="Times New Roman" w:hAnsi="Times New Roman"/>
          <w:sz w:val="220"/>
          <w:szCs w:val="220"/>
        </w:rPr>
        <w:t xml:space="preserve">SLC InSAR dependencies: millimetre-precision InSAR requires SNAP and ISCE2, which require multi-gigabyte manual installations outside pip.</w:t>
      </w:r>
    </w:p>
    <w:p>
      <w:pPr>
        <w:pStyle w:val="ListParagraph"/>
        <w:numPr>
          <w:ilvl w:val="0"/>
          <w:numId w:val="1"/>
        </w:numPr>
        <w:spacing w:after="60" w:before="0" w:line="240"/>
      </w:pPr>
      <w:r>
        <w:rPr>
          <w:rFonts w:ascii="Times New Roman" w:cs="Times New Roman" w:eastAsia="Times New Roman" w:hAnsi="Times New Roman"/>
          <w:sz w:val="220"/>
          <w:szCs w:val="220"/>
        </w:rPr>
        <w:t xml:space="preserve">Geographic bias: Prithvi and DINOv3 training data is biased towards North America and Western Europe, with measurable accuracy degradation in tropical and arid environments.</w:t>
      </w:r>
    </w:p>
    <w:p>
      <w:pPr>
        <w:pStyle w:val="Heading2"/>
        <w:spacing w:after="80" w:before="200"/>
      </w:pPr>
      <w:r>
        <w:t xml:space="preserve">6.3 Future Work</w:t>
      </w:r>
    </w:p>
    <w:p>
      <w:pPr>
        <w:spacing w:after="120" w:before="0" w:line="276"/>
        <w:jc w:val="both"/>
      </w:pPr>
      <w:r>
        <w:rPr>
          <w:rFonts w:ascii="Times New Roman" w:cs="Times New Roman" w:eastAsia="Times New Roman" w:hAnsi="Times New Roman"/>
          <w:sz w:val="220"/>
          <w:szCs w:val="220"/>
        </w:rPr>
        <w:t xml:space="preserve">Future directions include: multi-modal fusion (optical + SAR + DEM in a unified transformer); real-time streaming inference for satellite video; extended language support for French, Spanish, and Arabic queries; and federated learning for privacy-preserving cross-border model training.</w:t>
      </w:r>
    </w:p>
    <w:p>
      <w:pPr>
        <w:pStyle w:val="Heading1"/>
        <w:pBdr>
          <w:bottom w:val="single" w:color="1a56db" w:sz="6" w:space="4"/>
        </w:pBdr>
        <w:spacing w:after="120" w:before="280"/>
      </w:pPr>
      <w:r>
        <w:t xml:space="preserve">7. Conclusion</w:t>
      </w:r>
    </w:p>
    <w:p>
      <w:pPr>
        <w:spacing w:after="120" w:before="0" w:line="276"/>
        <w:jc w:val="both"/>
      </w:pPr>
      <w:r>
        <w:rPr>
          <w:rFonts w:ascii="Times New Roman" w:cs="Times New Roman" w:eastAsia="Times New Roman" w:hAnsi="Times New Roman"/>
          <w:sz w:val="220"/>
          <w:szCs w:val="220"/>
        </w:rPr>
        <w:t xml:space="preserve">We have presented PyGeoVision, the first open-source platform to integrate the complete Earth observation intelligence stack. By unifying 22+ satellite data providers, 119 AI model architectures, native DINOv3 and Prithvi-EO-2.0 foundation models, an autonomous GeoAgent, a full InSAR chain, and an interactive visualization layer behind a single Python API, PyGeoVision eliminates the integration burden that currently characterises EO AI workflows.</w:t>
      </w:r>
    </w:p>
    <w:p>
      <w:pPr>
        <w:spacing w:after="120" w:before="0" w:line="276"/>
        <w:jc w:val="both"/>
      </w:pPr>
      <w:r>
        <w:rPr>
          <w:rFonts w:ascii="Times New Roman" w:cs="Times New Roman" w:eastAsia="Times New Roman" w:hAnsi="Times New Roman"/>
          <w:sz w:val="220"/>
          <w:szCs w:val="220"/>
        </w:rPr>
        <w:t xml:space="preserve">Benchmark evaluation establishes state-of-the-art accuracy on four standard datasets with a mean improvement of 3.5 percentage points over the best-performing existing open-source alternative. GPS-validated InSAR displacement mapping shows 2.0 cm mean absolute error for large co-seismic events. Five operational case studies across agriculture, disaster, flooding, deforestation, and urban domains confirm practical utility at operational latencies of 34–47 minutes end-to-end.</w:t>
      </w:r>
    </w:p>
    <w:p>
      <w:pPr>
        <w:spacing w:after="120" w:before="0" w:line="276"/>
        <w:jc w:val="both"/>
      </w:pPr>
      <w:r>
        <w:rPr>
          <w:rFonts w:ascii="Times New Roman" w:cs="Times New Roman" w:eastAsia="Times New Roman" w:hAnsi="Times New Roman"/>
          <w:sz w:val="220"/>
          <w:szCs w:val="220"/>
        </w:rPr>
        <w:t xml:space="preserve">PyGeoVision is open-source under the Apache 2.0 licence, actively maintained with 585 automated tests and three-platform continuous integration, and available through standard Python package management. We invite the remote sensing and geospatial AI communities to adopt, extend, and contribute to PyGeoVision as common open infrastructure for Earth observation intelligence.</w:t>
      </w:r>
    </w:p>
    <w:p>
      <w:pPr>
        <w:spacing w:after="120" w:before="0"/>
      </w:pPr>
    </w:p>
    <w:p>
      <w:pPr>
        <w:pBdr>
          <w:left w:val="single" w:color="1a56db" w:sz="12" w:space="6"/>
        </w:pBdr>
        <w:spacing w:after="120" w:before="120"/>
        <w:ind w:left="226"/>
      </w:pPr>
      <w:r>
        <w:rPr>
          <w:rFonts w:ascii="Times New Roman" w:cs="Times New Roman" w:eastAsia="Times New Roman" w:hAnsi="Times New Roman"/>
          <w:b/>
          <w:bCs/>
          <w:sz w:val="220"/>
          <w:szCs w:val="220"/>
        </w:rPr>
        <w:t xml:space="preserve">Code and data availability. </w:t>
      </w:r>
      <w:r>
        <w:rPr>
          <w:rFonts w:ascii="Times New Roman" w:cs="Times New Roman" w:eastAsia="Times New Roman" w:hAnsi="Times New Roman"/>
          <w:sz w:val="220"/>
          <w:szCs w:val="220"/>
        </w:rPr>
        <w:t xml:space="preserve">PyGeoVision is available at: GitHub: </w:t>
      </w:r>
      <w:r>
        <w:rPr>
          <w:rFonts w:ascii="Times New Roman" w:cs="Times New Roman" w:eastAsia="Times New Roman" w:hAnsi="Times New Roman"/>
          <w:color w:val="1a56db"/>
          <w:sz w:val="220"/>
          <w:szCs w:val="220"/>
        </w:rPr>
        <w:t xml:space="preserve">github.com/appiahkubis14/PyGeoVision</w:t>
      </w:r>
      <w:r>
        <w:rPr>
          <w:rFonts w:ascii="Times New Roman" w:cs="Times New Roman" w:eastAsia="Times New Roman" w:hAnsi="Times New Roman"/>
          <w:sz w:val="220"/>
          <w:szCs w:val="220"/>
        </w:rPr>
        <w:t xml:space="preserve"> · PyPI: </w:t>
      </w:r>
      <w:r>
        <w:rPr>
          <w:rFonts w:ascii="Times New Roman" w:cs="Times New Roman" w:eastAsia="Times New Roman" w:hAnsi="Times New Roman"/>
          <w:color w:val="1a56db"/>
          <w:sz w:val="220"/>
          <w:szCs w:val="220"/>
        </w:rPr>
        <w:t xml:space="preserve">pypi.org/project/pygeovision</w:t>
      </w:r>
      <w:r>
        <w:rPr>
          <w:rFonts w:ascii="Times New Roman" w:cs="Times New Roman" w:eastAsia="Times New Roman" w:hAnsi="Times New Roman"/>
          <w:sz w:val="220"/>
          <w:szCs w:val="220"/>
        </w:rPr>
        <w:t xml:space="preserve"> · Documentation: </w:t>
      </w:r>
      <w:r>
        <w:rPr>
          <w:rFonts w:ascii="Times New Roman" w:cs="Times New Roman" w:eastAsia="Times New Roman" w:hAnsi="Times New Roman"/>
          <w:color w:val="1a56db"/>
          <w:sz w:val="220"/>
          <w:szCs w:val="220"/>
        </w:rPr>
        <w:t xml:space="preserve">appiahkubis14.github.io/pygeovision-docs</w:t>
      </w:r>
    </w:p>
    <w:p>
      <w:pPr>
        <w:pStyle w:val="Heading1"/>
        <w:pBdr>
          <w:bottom w:val="single" w:color="1a56db" w:sz="6" w:space="4"/>
        </w:pBdr>
        <w:spacing w:after="120" w:before="280"/>
      </w:pPr>
      <w:r>
        <w:t xml:space="preserve">References</w:t>
      </w:r>
    </w:p>
    <w:p>
      <w:pPr>
        <w:spacing w:after="80" w:before="0"/>
      </w:pPr>
      <w:r>
        <w:rPr>
          <w:rFonts w:ascii="Times New Roman" w:cs="Times New Roman" w:eastAsia="Times New Roman" w:hAnsi="Times New Roman"/>
          <w:sz w:val="200"/>
          <w:szCs w:val="200"/>
        </w:rPr>
        <w:t xml:space="preserve">[1] Copernicus Programme. Sentinel Data Policy. ESA, 2024.</w:t>
      </w:r>
    </w:p>
    <w:p>
      <w:pPr>
        <w:spacing w:after="80" w:before="0"/>
      </w:pPr>
      <w:r>
        <w:rPr>
          <w:rFonts w:ascii="Times New Roman" w:cs="Times New Roman" w:eastAsia="Times New Roman" w:hAnsi="Times New Roman"/>
          <w:sz w:val="200"/>
          <w:szCs w:val="200"/>
        </w:rPr>
        <w:t xml:space="preserve">[2] Xie, E.; Wang, W.; Yu, Z.; Anandkumar, A.; Alvarez, J.M.; Luo, P. SegFormer: Simple and Efficient Design for Semantic Segmentation with Transformers. NeurIPS 2021.</w:t>
      </w:r>
    </w:p>
    <w:p>
      <w:pPr>
        <w:spacing w:after="80" w:before="0"/>
      </w:pPr>
      <w:r>
        <w:rPr>
          <w:rFonts w:ascii="Times New Roman" w:cs="Times New Roman" w:eastAsia="Times New Roman" w:hAnsi="Times New Roman"/>
          <w:sz w:val="200"/>
          <w:szCs w:val="200"/>
        </w:rPr>
        <w:t xml:space="preserve">[3] Chen, H.; Qi, Z.; Shi, Z. Remote Sensing Image Change Detection with Transformers. IEEE Trans. Geosci. Remote Sens. 2022, 60, 1–14.</w:t>
      </w:r>
    </w:p>
    <w:p>
      <w:pPr>
        <w:spacing w:after="80" w:before="0"/>
      </w:pPr>
      <w:r>
        <w:rPr>
          <w:rFonts w:ascii="Times New Roman" w:cs="Times New Roman" w:eastAsia="Times New Roman" w:hAnsi="Times New Roman"/>
          <w:sz w:val="200"/>
          <w:szCs w:val="200"/>
        </w:rPr>
        <w:t xml:space="preserve">[4] Jakubik, J. et al. Foundation Models for Generalist Geospatial Artificial Intelligence. arXiv:2310.18660, 2023.</w:t>
      </w:r>
    </w:p>
    <w:p>
      <w:pPr>
        <w:spacing w:after="80" w:before="0"/>
      </w:pPr>
      <w:r>
        <w:rPr>
          <w:rFonts w:ascii="Times New Roman" w:cs="Times New Roman" w:eastAsia="Times New Roman" w:hAnsi="Times New Roman"/>
          <w:sz w:val="200"/>
          <w:szCs w:val="200"/>
        </w:rPr>
        <w:t xml:space="preserve">[5] Siméoni, O. et al. Vision Transformers Need Registers. ICLR 2024.</w:t>
      </w:r>
    </w:p>
    <w:p>
      <w:pPr>
        <w:spacing w:after="80" w:before="0"/>
      </w:pPr>
      <w:r>
        <w:rPr>
          <w:rFonts w:ascii="Times New Roman" w:cs="Times New Roman" w:eastAsia="Times New Roman" w:hAnsi="Times New Roman"/>
          <w:sz w:val="200"/>
          <w:szCs w:val="200"/>
        </w:rPr>
        <w:t xml:space="preserve">[6] Wu, Q. GeoAI: A Python Package for Geospatial Artificial Intelligence. J. Open Source Softw. 2026, 11(120), 9605.</w:t>
      </w:r>
    </w:p>
    <w:p>
      <w:pPr>
        <w:spacing w:after="80" w:before="0"/>
      </w:pPr>
      <w:r>
        <w:rPr>
          <w:rFonts w:ascii="Times New Roman" w:cs="Times New Roman" w:eastAsia="Times New Roman" w:hAnsi="Times New Roman"/>
          <w:sz w:val="200"/>
          <w:szCs w:val="200"/>
        </w:rPr>
        <w:t xml:space="preserve">[7] Stewart, A.J. et al. TorchGeo: Deep Learning with Geospatial Data. SIGSPATIAL 2022.</w:t>
      </w:r>
    </w:p>
    <w:p>
      <w:pPr>
        <w:spacing w:after="80" w:before="0"/>
      </w:pPr>
      <w:r>
        <w:rPr>
          <w:rFonts w:ascii="Times New Roman" w:cs="Times New Roman" w:eastAsia="Times New Roman" w:hAnsi="Times New Roman"/>
          <w:sz w:val="200"/>
          <w:szCs w:val="200"/>
        </w:rPr>
        <w:t xml:space="preserve">[8] Lehner, J. et al. TerraTorch: A Fine-Tuning Framework for Geospatial Foundation Models. Remote Sens. 2025.</w:t>
      </w:r>
    </w:p>
    <w:p>
      <w:pPr>
        <w:spacing w:after="80" w:before="0"/>
      </w:pPr>
      <w:r>
        <w:rPr>
          <w:rFonts w:ascii="Times New Roman" w:cs="Times New Roman" w:eastAsia="Times New Roman" w:hAnsi="Times New Roman"/>
          <w:sz w:val="200"/>
          <w:szCs w:val="200"/>
        </w:rPr>
        <w:t xml:space="preserve">[9] Valette, G. et al. EODAG: Earth Observation Data Access Gateway. Comput. Geosci. 2022, 168, 105233.</w:t>
      </w:r>
    </w:p>
    <w:p>
      <w:pPr>
        <w:spacing w:after="80" w:before="0"/>
      </w:pPr>
      <w:r>
        <w:rPr>
          <w:rFonts w:ascii="Times New Roman" w:cs="Times New Roman" w:eastAsia="Times New Roman" w:hAnsi="Times New Roman"/>
          <w:sz w:val="200"/>
          <w:szCs w:val="200"/>
        </w:rPr>
        <w:t xml:space="preserve">[10] Appiah Kubi, S. PyGeoFetch: Unified Satellite Data Acquisition Library. GitHub, 2025.</w:t>
      </w:r>
    </w:p>
    <w:p>
      <w:pPr>
        <w:spacing w:after="80" w:before="0"/>
      </w:pPr>
      <w:r>
        <w:rPr>
          <w:rFonts w:ascii="Times New Roman" w:cs="Times New Roman" w:eastAsia="Times New Roman" w:hAnsi="Times New Roman"/>
          <w:sz w:val="200"/>
          <w:szCs w:val="200"/>
        </w:rPr>
        <w:t xml:space="preserve">[11] Lee, J.S. Refined filtering of image noise using local statistics. Comput. Graph. Image Process. 1981, 15(4), 380–389.</w:t>
      </w:r>
    </w:p>
    <w:p>
      <w:pPr>
        <w:spacing w:after="80" w:before="0"/>
      </w:pPr>
      <w:r>
        <w:rPr>
          <w:rFonts w:ascii="Times New Roman" w:cs="Times New Roman" w:eastAsia="Times New Roman" w:hAnsi="Times New Roman"/>
          <w:sz w:val="200"/>
          <w:szCs w:val="200"/>
        </w:rPr>
        <w:t xml:space="preserve">[12] Xiong, Z. et al. EarthNets: Empowering AI in Earth Observation. arXiv:2210.04936, 2022.</w:t>
      </w:r>
    </w:p>
    <w:p>
      <w:pPr>
        <w:spacing w:after="80" w:before="0"/>
      </w:pPr>
      <w:r>
        <w:rPr>
          <w:rFonts w:ascii="Times New Roman" w:cs="Times New Roman" w:eastAsia="Times New Roman" w:hAnsi="Times New Roman"/>
          <w:sz w:val="200"/>
          <w:szCs w:val="200"/>
        </w:rPr>
        <w:t xml:space="preserve">[13] Christie, G. et al. Functional Map of the World. CVPR 2018.</w:t>
      </w:r>
    </w:p>
    <w:p>
      <w:pPr>
        <w:spacing w:after="80" w:before="0"/>
      </w:pPr>
      <w:r>
        <w:rPr>
          <w:rFonts w:ascii="Times New Roman" w:cs="Times New Roman" w:eastAsia="Times New Roman" w:hAnsi="Times New Roman"/>
          <w:sz w:val="200"/>
          <w:szCs w:val="200"/>
        </w:rPr>
        <w:t xml:space="preserve">[14] Sumbul, G. et al. BigEarthNet: A Large-Scale Benchmark Archive. IGARSS 2019.</w:t>
      </w:r>
    </w:p>
    <w:p>
      <w:pPr>
        <w:spacing w:after="80" w:before="0"/>
      </w:pPr>
      <w:r>
        <w:rPr>
          <w:rFonts w:ascii="Times New Roman" w:cs="Times New Roman" w:eastAsia="Times New Roman" w:hAnsi="Times New Roman"/>
          <w:sz w:val="200"/>
          <w:szCs w:val="200"/>
        </w:rPr>
        <w:t xml:space="preserve">[15] Li, K. et al. Object Detection in Optical Remote Sensing Images. ISPRS J. 2020, 159, 296–307.</w:t>
      </w:r>
    </w:p>
    <w:p>
      <w:pPr>
        <w:spacing w:after="80" w:before="0"/>
      </w:pPr>
      <w:r>
        <w:rPr>
          <w:rFonts w:ascii="Times New Roman" w:cs="Times New Roman" w:eastAsia="Times New Roman" w:hAnsi="Times New Roman"/>
          <w:sz w:val="200"/>
          <w:szCs w:val="200"/>
        </w:rPr>
        <w:t xml:space="preserve">[16] Dumeur, I. et al. SEASONET: A large-scale multi-date Sentinel-2 dataset. Remote Sens. 2022, 14(5), 1075.</w:t>
      </w:r>
    </w:p>
    <w:p>
      <w:pPr>
        <w:spacing w:after="80" w:before="0"/>
      </w:pPr>
      <w:r>
        <w:rPr>
          <w:rFonts w:ascii="Times New Roman" w:cs="Times New Roman" w:eastAsia="Times New Roman" w:hAnsi="Times New Roman"/>
          <w:sz w:val="200"/>
          <w:szCs w:val="200"/>
        </w:rPr>
        <w:t xml:space="preserve">[17] Chen, H.; Shi, Z. A Spatial-Temporal Attention-Based Method for Remote Sensing Image Change Detection. Remote Sens. 2020, 12(10), 1662.</w:t>
      </w:r>
    </w:p>
    <w:p>
      <w:pPr>
        <w:spacing w:after="80" w:before="0"/>
      </w:pPr>
      <w:r>
        <w:rPr>
          <w:rFonts w:ascii="Times New Roman" w:cs="Times New Roman" w:eastAsia="Times New Roman" w:hAnsi="Times New Roman"/>
          <w:sz w:val="200"/>
          <w:szCs w:val="200"/>
        </w:rPr>
        <w:t xml:space="preserve">[18] Wang, D. et al. An Empirical Study of Remote Sensing Pretraining. IEEE Trans. Geosci. Remote Sens. 2023, 61, 1–20.</w:t>
      </w:r>
    </w:p>
    <w:p>
      <w:pPr>
        <w:spacing w:after="80" w:before="0"/>
      </w:pPr>
      <w:r>
        <w:rPr>
          <w:rFonts w:ascii="Times New Roman" w:cs="Times New Roman" w:eastAsia="Times New Roman" w:hAnsi="Times New Roman"/>
          <w:sz w:val="200"/>
          <w:szCs w:val="200"/>
        </w:rPr>
        <w:t xml:space="preserve">[19] Ronneberger, O.; Fischer, P.; Brox, T. U-Net: Convolutional Networks for Biomedical Image Segmentation. MICCAI 2015.</w:t>
      </w:r>
    </w:p>
    <w:p>
      <w:pPr>
        <w:spacing w:after="80" w:before="0"/>
      </w:pPr>
      <w:r>
        <w:rPr>
          <w:rFonts w:ascii="Times New Roman" w:cs="Times New Roman" w:eastAsia="Times New Roman" w:hAnsi="Times New Roman"/>
          <w:sz w:val="200"/>
          <w:szCs w:val="200"/>
        </w:rPr>
        <w:t xml:space="preserve">[20] Lin, T.Y. et al. Focal Loss for Dense Object Detection. ICCV 2017.</w:t>
      </w:r>
    </w:p>
    <w:p>
      <w:pPr>
        <w:spacing w:after="80" w:before="0"/>
      </w:pPr>
      <w:r>
        <w:rPr>
          <w:rFonts w:ascii="Times New Roman" w:cs="Times New Roman" w:eastAsia="Times New Roman" w:hAnsi="Times New Roman"/>
          <w:sz w:val="200"/>
          <w:szCs w:val="200"/>
        </w:rPr>
        <w:t xml:space="preserve">[21] Kirillov, A. et al. Segment Anything. ICCV 2023.</w:t>
      </w:r>
    </w:p>
    <w:p>
      <w:pPr>
        <w:spacing w:after="80" w:before="0"/>
      </w:pPr>
      <w:r>
        <w:rPr>
          <w:rFonts w:ascii="Times New Roman" w:cs="Times New Roman" w:eastAsia="Times New Roman" w:hAnsi="Times New Roman"/>
          <w:sz w:val="200"/>
          <w:szCs w:val="200"/>
        </w:rPr>
        <w:t xml:space="preserve">[22] Dosovitskiy, A. et al. An Image is Worth 16×16 Words: Transformers for Image Recognition at Scale. ICLR 2021.</w:t>
      </w:r>
    </w:p>
    <w:p>
      <w:pPr>
        <w:spacing w:after="80" w:before="0"/>
      </w:pPr>
      <w:r>
        <w:rPr>
          <w:rFonts w:ascii="Times New Roman" w:cs="Times New Roman" w:eastAsia="Times New Roman" w:hAnsi="Times New Roman"/>
          <w:sz w:val="200"/>
          <w:szCs w:val="200"/>
        </w:rPr>
        <w:t xml:space="preserve">[23] Vaswani, A. et al. Attention Is All You Need. NeurIPS 2017.</w:t>
      </w:r>
    </w:p>
    <w:p>
      <w:pPr>
        <w:spacing w:after="80" w:before="0"/>
      </w:pPr>
      <w:r>
        <w:rPr>
          <w:rFonts w:ascii="Times New Roman" w:cs="Times New Roman" w:eastAsia="Times New Roman" w:hAnsi="Times New Roman"/>
          <w:sz w:val="200"/>
          <w:szCs w:val="200"/>
        </w:rPr>
        <w:t xml:space="preserve">[24] Huete, A.R. et al. Overview of MODIS vegetation indices. Remote Sens. Environ. 2002, 83, 195–213.</w:t>
      </w:r>
    </w:p>
    <w:p>
      <w:pPr>
        <w:spacing w:after="80" w:before="0"/>
      </w:pPr>
      <w:r>
        <w:rPr>
          <w:rFonts w:ascii="Times New Roman" w:cs="Times New Roman" w:eastAsia="Times New Roman" w:hAnsi="Times New Roman"/>
          <w:sz w:val="200"/>
          <w:szCs w:val="200"/>
        </w:rPr>
        <w:t xml:space="preserve">[25] McFeeters, S.K. The use of NDWI in the delineation of open water features. Int. J. Remote Sens. 1996, 17(7), 1425–1432.</w:t>
      </w:r>
    </w:p>
    <w:sectPr>
      <w:headerReference w:type="default" r:id="rId7"/>
      <w:footerReference w:type="default" r:id="rId8"/>
      <w:pgSz w:w="11907" w:h="16839"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jc w:val="center"/>
    </w:pPr>
    <w:r>
      <w:rPr>
        <w:rFonts w:ascii="Arial" w:cs="Arial" w:eastAsia="Arial" w:hAnsi="Arial"/>
        <w:color w:val="6b7280"/>
        <w:sz w:val="180"/>
        <w:szCs w:val="180"/>
      </w:rPr>
      <w:t xml:space="preserve">Remote Sensing  ·  Submitted July 2026  ·  Samuel Appiah Kubi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pPr>
    <w:r>
      <w:rPr>
        <w:rFonts w:ascii="Arial" w:cs="Arial" w:eastAsia="Arial" w:hAnsi="Arial"/>
        <w:color w:val="6b7280"/>
        <w:sz w:val="180"/>
        <w:szCs w:val="180"/>
      </w:rPr>
      <w:t xml:space="preserve">PyGeoVision: A Production-Ready Open-Source Platform for Geospatial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170"/>
      </w:pPr>
      <w:rPr>
        <w:rFonts w:ascii="Symbol" w:cs="Symbol" w:eastAsia="Symbol" w:hAnsi="Symbol"/>
        <w:sz w:val="220"/>
        <w:szCs w:val="2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0"/>
        <w:szCs w:val="2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60" w:before="320"/>
    </w:pPr>
    <w:rPr>
      <w:rFonts w:ascii="Arial" w:cs="Arial" w:eastAsia="Arial" w:hAnsi="Arial"/>
      <w:b/>
      <w:bCs/>
      <w:color w:val="111827"/>
      <w:sz w:val="260"/>
      <w:szCs w:val="260"/>
    </w:rPr>
  </w:style>
  <w:style w:type="paragraph" w:styleId="Heading2">
    <w:name w:val="Heading 2"/>
    <w:basedOn w:val="Normal"/>
    <w:pPr>
      <w:spacing w:after="120" w:before="200"/>
    </w:pPr>
    <w:rPr>
      <w:rFonts w:ascii="Arial" w:cs="Arial" w:eastAsia="Arial" w:hAnsi="Arial"/>
      <w:b/>
      <w:bCs/>
      <w:color w:val="1a56db"/>
      <w:sz w:val="220"/>
      <w:szCs w:val="2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2d9aa25ceefc99ef4ca257c7145cf13eaa4e9f7.png"/><Relationship Id="rId10" Type="http://schemas.openxmlformats.org/officeDocument/2006/relationships/image" Target="media/620a22e5c712902812b8026180fcae04372eb203.png"/><Relationship Id="rId11" Type="http://schemas.openxmlformats.org/officeDocument/2006/relationships/image" Target="media/6eef66c75d0867896379c16f18dd617964f42acd.png"/><Relationship Id="rId12" Type="http://schemas.openxmlformats.org/officeDocument/2006/relationships/image" Target="media/1a2fc3176f7ad28f1c930e269d766bbb9c0378d5.png"/><Relationship Id="rId13" Type="http://schemas.openxmlformats.org/officeDocument/2006/relationships/image" Target="media/68a3bf38bc6bc7f928e3ec665233ae637215ddd7.png"/><Relationship Id="rId14" Type="http://schemas.openxmlformats.org/officeDocument/2006/relationships/image" Target="media/69a1abe3304966cab37f84facf260eff3e876cf1.png"/><Relationship Id="rId15" Type="http://schemas.openxmlformats.org/officeDocument/2006/relationships/image" Target="media/98db210a66b3cb413f4c17e5e6c7fee58570a801.png"/><Relationship Id="rId16" Type="http://schemas.openxmlformats.org/officeDocument/2006/relationships/image" Target="media/2bbf68ddf2e75081196df0d4db9e5f3ff6f49f0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2026-07-04T15:01:03.212Z</dcterms:created>
  <dcterms:modified xsi:type="dcterms:W3CDTF">2026-07-04T15:01:03.224Z</dcterms:modified>
</cp:coreProperties>
</file>

<file path=docProps/custom.xml><?xml version="1.0" encoding="utf-8"?>
<Properties xmlns="http://schemas.openxmlformats.org/officeDocument/2006/custom-properties" xmlns:vt="http://schemas.openxmlformats.org/officeDocument/2006/docPropsVTypes"/>
</file>