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8B9" w:rsidRPr="000B28B9" w:rsidRDefault="000B28B9" w:rsidP="000B28B9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0B28B9">
        <w:rPr>
          <w:rFonts w:ascii="Times New Roman" w:hAnsi="Times New Roman" w:cs="Times New Roman"/>
          <w:b/>
          <w:sz w:val="20"/>
          <w:szCs w:val="20"/>
          <w:u w:val="single"/>
        </w:rPr>
        <w:t>Supplementary text</w:t>
      </w:r>
    </w:p>
    <w:p w:rsidR="000B28B9" w:rsidRPr="000B28B9" w:rsidRDefault="000B28B9" w:rsidP="000B28B9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0B28B9">
        <w:rPr>
          <w:rFonts w:ascii="Times New Roman" w:hAnsi="Times New Roman" w:cs="Times New Roman"/>
          <w:b/>
          <w:sz w:val="20"/>
          <w:szCs w:val="20"/>
          <w:u w:val="single"/>
        </w:rPr>
        <w:br w:type="page"/>
      </w:r>
    </w:p>
    <w:p w:rsidR="000B28B9" w:rsidRPr="000B28B9" w:rsidRDefault="000B28B9" w:rsidP="000B28B9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0B28B9">
        <w:rPr>
          <w:rFonts w:ascii="Times New Roman" w:hAnsi="Times New Roman" w:cs="Times New Roman"/>
          <w:b/>
          <w:sz w:val="20"/>
          <w:szCs w:val="20"/>
          <w:u w:val="single"/>
        </w:rPr>
        <w:lastRenderedPageBreak/>
        <w:t>Supplementary tables</w:t>
      </w:r>
    </w:p>
    <w:p w:rsidR="000B28B9" w:rsidRPr="000B28B9" w:rsidRDefault="000B28B9" w:rsidP="000B28B9">
      <w:pPr>
        <w:jc w:val="both"/>
        <w:rPr>
          <w:rFonts w:ascii="Times New Roman" w:hAnsi="Times New Roman" w:cs="Times New Roman"/>
          <w:sz w:val="20"/>
          <w:szCs w:val="20"/>
        </w:rPr>
      </w:pPr>
      <w:r w:rsidRPr="000B28B9">
        <w:rPr>
          <w:rFonts w:ascii="Times New Roman" w:hAnsi="Times New Roman" w:cs="Times New Roman"/>
          <w:sz w:val="20"/>
          <w:szCs w:val="20"/>
        </w:rPr>
        <w:t>Table S1: Variables included in the Newfoundland Principal Component Analyses.</w:t>
      </w:r>
    </w:p>
    <w:tbl>
      <w:tblPr>
        <w:tblStyle w:val="TableGrid"/>
        <w:tblW w:w="9039" w:type="dxa"/>
        <w:tblLayout w:type="fixed"/>
        <w:tblLook w:val="04A0" w:firstRow="1" w:lastRow="0" w:firstColumn="1" w:lastColumn="0" w:noHBand="0" w:noVBand="1"/>
      </w:tblPr>
      <w:tblGrid>
        <w:gridCol w:w="6204"/>
        <w:gridCol w:w="1417"/>
        <w:gridCol w:w="1418"/>
      </w:tblGrid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Variable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Group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Period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FE1AD0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Deep temperature</w:t>
            </w:r>
            <w:r w:rsidR="00FE1AD0">
              <w:rPr>
                <w:rFonts w:ascii="Times New Roman" w:hAnsi="Times New Roman" w:cs="Times New Roman"/>
                <w:sz w:val="20"/>
                <w:szCs w:val="20"/>
              </w:rPr>
              <w:t xml:space="preserve"> (3Ps, 3LNO spring, 2J, 3K, 3LNO fall</w:t>
            </w: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Sea-surface temperature (St. Lawrence Estuary, western, eastern, &amp; southern Gulf of St. Lawrence)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North Atlantic Oscillation (NAO) index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Atlantic Multi-decadal Oscillation (AMO) index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Cold Intermediate Layer (CIL) area (Seal Island, White Bay,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Bonavista</w:t>
            </w:r>
            <w:proofErr w:type="spellEnd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, Flemish Cap)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Mean ice volume (January-February-March) </w:t>
            </w:r>
          </w:p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(Gulf of St. Lawrence + Scotian Shelf)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finmarchicus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hyperboreus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glacialis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Pseudocalanus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Metridia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longa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Metridia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lucens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Metridia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Temora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longicornis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Microcalanus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.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Oithona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Scolecithricella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minor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Larvacea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Gastropoda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Bivalvia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Euphausiacea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Cnidaria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Hydrozoa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Sea-surface temperature warming (St. Anthony Basin, Northeast Newfoundland Shelf, Hibernia, Flemish Pass, Southeast Shoal)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Final day of sea ice (Newfoundland Shelf)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Mean ice area (Newfoundland Shelf)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Annual peak in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finmarchicus</w:t>
            </w:r>
            <w:proofErr w:type="spellEnd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 abundance (Station 27)</w:t>
            </w:r>
          </w:p>
        </w:tc>
        <w:tc>
          <w:tcPr>
            <w:tcW w:w="1417" w:type="dxa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Annual peak in proportion of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finmarchicus</w:t>
            </w:r>
            <w:proofErr w:type="spellEnd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 life stages I+II+III relative to total population (Station 27)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Annual peak in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hyperboreus</w:t>
            </w:r>
            <w:proofErr w:type="spellEnd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 abundance (Station 27)</w:t>
            </w:r>
          </w:p>
        </w:tc>
        <w:tc>
          <w:tcPr>
            <w:tcW w:w="1417" w:type="dxa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Annual peak in proportion of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hyperboreus</w:t>
            </w:r>
            <w:proofErr w:type="spellEnd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 life stages I+II+III relative to total population (Station 27)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Annual peak in total zooplankton biomass (Station 27) </w:t>
            </w:r>
          </w:p>
        </w:tc>
        <w:tc>
          <w:tcPr>
            <w:tcW w:w="1417" w:type="dxa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Start of phytoplankton bloom (St. Anthony Basin, Northeast Newfoundland Shelf, Hibernia, Flemish Pass, Southeast Shoal)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Duration of phytoplankton bloom (St. Anthony Basin, Northeast Newfoundland Shelf, Hibernia, Flemish Pass, Southeast Shoal)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</w:tbl>
    <w:p w:rsidR="000B28B9" w:rsidRPr="000B28B9" w:rsidRDefault="000B28B9" w:rsidP="000B28B9">
      <w:pPr>
        <w:jc w:val="both"/>
        <w:rPr>
          <w:rFonts w:ascii="Times New Roman" w:hAnsi="Times New Roman" w:cs="Times New Roman"/>
          <w:sz w:val="20"/>
          <w:szCs w:val="20"/>
        </w:rPr>
      </w:pPr>
      <w:r w:rsidRPr="000B28B9">
        <w:rPr>
          <w:rFonts w:ascii="Times New Roman" w:hAnsi="Times New Roman" w:cs="Times New Roman"/>
          <w:b/>
          <w:sz w:val="20"/>
          <w:szCs w:val="20"/>
          <w:u w:val="single"/>
        </w:rPr>
        <w:br w:type="page"/>
      </w:r>
      <w:r w:rsidRPr="000B28B9">
        <w:rPr>
          <w:rFonts w:ascii="Times New Roman" w:hAnsi="Times New Roman" w:cs="Times New Roman"/>
          <w:sz w:val="20"/>
          <w:szCs w:val="20"/>
        </w:rPr>
        <w:lastRenderedPageBreak/>
        <w:t>Table S2: Variables included in the Gulf of St. Lawrence Principal Component Analyses.</w:t>
      </w:r>
    </w:p>
    <w:tbl>
      <w:tblPr>
        <w:tblStyle w:val="TableGrid"/>
        <w:tblpPr w:leftFromText="180" w:rightFromText="180" w:vertAnchor="text" w:horzAnchor="margin" w:tblpY="68"/>
        <w:tblW w:w="9039" w:type="dxa"/>
        <w:tblLayout w:type="fixed"/>
        <w:tblLook w:val="04A0" w:firstRow="1" w:lastRow="0" w:firstColumn="1" w:lastColumn="0" w:noHBand="0" w:noVBand="1"/>
      </w:tblPr>
      <w:tblGrid>
        <w:gridCol w:w="6204"/>
        <w:gridCol w:w="1417"/>
        <w:gridCol w:w="1418"/>
      </w:tblGrid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Variable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Group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Period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Deep (300m) temperature (St. Lawrence Estuary, western, eastern, &amp; southern Gulf of St. Lawrence)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Sea-surface temperature (St. Lawrence Estuary, western, eastern, &amp; southern Gulf of St. Lawrence)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North Atlantic Oscillation (NAO) index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Atlantic Multi-decadal Oscillation (AMO) index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Annual mean St. Lawrence river flux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Cold Intermediate Layer (CIL) minimum temperature index</w:t>
            </w:r>
          </w:p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(Gulf of St Lawrence)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Mean ice volume (January-February-March) </w:t>
            </w:r>
          </w:p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(Gulf of St. Lawrence + Scotian Shelf)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finmarchicus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hyperboreus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glacialis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Pseudocalanus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Metridia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longa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Metridia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lucens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Metridia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Temora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Microcalanus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.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Oithona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Scolecithricella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minor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Larvacea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Gastropoda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Bivalvia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Euphausiacea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Cnidaria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Sea-surface temperature warming (Northwest Gulf of St. Lawrence, Northeast Gulf of St. Lawrence, Magdalen Shallows, Cabot Strait)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Final day of sea ice (Gulf of St. Lawrence + Scotian Shelf)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Mean ice area (Gulf of St. Lawrence + Scotian Shelf; Jan-Mar)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Annual peak in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finmarchicus</w:t>
            </w:r>
            <w:proofErr w:type="spellEnd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 CI+II+III generation 1 (Rimouski Station)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Annual peak in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finmarchicus</w:t>
            </w:r>
            <w:proofErr w:type="spellEnd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 CI+II+III generation 2 (Rimouski Station)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Annual peak in ratio of generations 2 and 1 for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finmarchicus</w:t>
            </w:r>
            <w:proofErr w:type="spellEnd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 CI+II+ III (Rimouski Station) 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Start of phytoplankton bloom (Northwest Gulf of St. Lawrence, Northeast Gulf of St. Lawrence, Magdalen Shallows, Cabot Strait)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Duration of phytoplankton bloom (Northwest Gulf of St. Lawrence, Northeast Gulf of St. Lawrence, Magdalen Shallows, Cabot Strait)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</w:tbl>
    <w:p w:rsidR="000B28B9" w:rsidRPr="000B28B9" w:rsidRDefault="000B28B9" w:rsidP="000B28B9">
      <w:pPr>
        <w:rPr>
          <w:rFonts w:ascii="Times New Roman" w:hAnsi="Times New Roman" w:cs="Times New Roman"/>
          <w:sz w:val="20"/>
          <w:szCs w:val="20"/>
        </w:rPr>
      </w:pPr>
      <w:r w:rsidRPr="000B28B9">
        <w:rPr>
          <w:rFonts w:ascii="Times New Roman" w:hAnsi="Times New Roman" w:cs="Times New Roman"/>
          <w:sz w:val="20"/>
          <w:szCs w:val="20"/>
        </w:rPr>
        <w:br w:type="page"/>
      </w:r>
    </w:p>
    <w:p w:rsidR="000B28B9" w:rsidRPr="000B28B9" w:rsidRDefault="000B28B9" w:rsidP="000B28B9">
      <w:pPr>
        <w:jc w:val="both"/>
        <w:rPr>
          <w:rFonts w:ascii="Times New Roman" w:hAnsi="Times New Roman" w:cs="Times New Roman"/>
          <w:sz w:val="20"/>
          <w:szCs w:val="20"/>
        </w:rPr>
      </w:pPr>
      <w:r w:rsidRPr="000B28B9">
        <w:rPr>
          <w:rFonts w:ascii="Times New Roman" w:hAnsi="Times New Roman" w:cs="Times New Roman"/>
          <w:sz w:val="20"/>
          <w:szCs w:val="20"/>
        </w:rPr>
        <w:lastRenderedPageBreak/>
        <w:t>Table S3: Variables included in the Scotian Shelf Principal Component Analyses.</w:t>
      </w:r>
    </w:p>
    <w:tbl>
      <w:tblPr>
        <w:tblStyle w:val="TableGrid"/>
        <w:tblW w:w="9039" w:type="dxa"/>
        <w:tblLayout w:type="fixed"/>
        <w:tblLook w:val="04A0" w:firstRow="1" w:lastRow="0" w:firstColumn="1" w:lastColumn="0" w:noHBand="0" w:noVBand="1"/>
      </w:tblPr>
      <w:tblGrid>
        <w:gridCol w:w="6204"/>
        <w:gridCol w:w="1417"/>
        <w:gridCol w:w="1418"/>
      </w:tblGrid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Variable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Group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Period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July bottom temperature (4X, 4W, 4V)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Sea-surface temperature, Jan-Dec, except 4V Apr-Dec</w:t>
            </w:r>
          </w:p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(4XSS, 4W, 4V, Gulf of Maine + Bay of Fundy)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North Atlantic Oscillation (NAO) index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Atlantic Multi-decadal Oscillation (AMO) index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Annual mean St. Lawrence river flux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Cold Intermediate Layer (CIL) volume (August-September)</w:t>
            </w:r>
          </w:p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(Scotian Shelf)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Mean ice volume (January-February-March) </w:t>
            </w:r>
          </w:p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(Gulf of St. Lawrence + Scotian Shelf)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Stratification (Scotian Shelf)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Physical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1985–2016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finmarchicus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hyperboreus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glacialis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Pseudocalanus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Metridia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longa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Metridia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lucens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Metridia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Temora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Microcalanus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.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Oithona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Oithona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similis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Oithona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atlantica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Paracalanus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Centropages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typicus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Centropages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spp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Scolecithricella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minor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Larvacea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Gastropoda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Bivalvia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bottom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Euphausiacea</w:t>
            </w:r>
            <w:proofErr w:type="spellEnd"/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Zooplankton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Sea-surface temperature warming (Mar-May)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Final day of sea ice (Gulf of St. Lawrence + Scotian Shelf)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Mean ice area (Gulf of St. Lawrence + Scotian Shelf; Jan-Mar)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Annual peak in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finmarchicus</w:t>
            </w:r>
            <w:proofErr w:type="spellEnd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 abundance (Station HL2)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Annual peak in proportion of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Calanus</w:t>
            </w:r>
            <w:proofErr w:type="spellEnd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0B28B9">
              <w:rPr>
                <w:rFonts w:ascii="Times New Roman" w:hAnsi="Times New Roman" w:cs="Times New Roman"/>
                <w:i/>
                <w:sz w:val="20"/>
                <w:szCs w:val="20"/>
              </w:rPr>
              <w:t>finmarchicus</w:t>
            </w:r>
            <w:proofErr w:type="spellEnd"/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 life stages I+II+III relative to total population (Station HL2)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Annual peak in total zooplankton biomass (Station HL2) 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Start of phytoplankton bloom </w:t>
            </w:r>
          </w:p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(Eastern, Central, and Western Scotian Shelf)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  <w:tr w:rsidR="000B28B9" w:rsidRPr="000B28B9" w:rsidTr="00097DB6">
        <w:tc>
          <w:tcPr>
            <w:tcW w:w="6204" w:type="dxa"/>
            <w:vAlign w:val="center"/>
          </w:tcPr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Duration of phytoplankton bloom </w:t>
            </w:r>
          </w:p>
          <w:p w:rsidR="000B28B9" w:rsidRPr="000B28B9" w:rsidRDefault="000B28B9" w:rsidP="000B28B9">
            <w:pPr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(Eastern, Central, and Western Scotian Shelf)</w:t>
            </w:r>
          </w:p>
        </w:tc>
        <w:tc>
          <w:tcPr>
            <w:tcW w:w="1417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Phenology</w:t>
            </w:r>
          </w:p>
        </w:tc>
        <w:tc>
          <w:tcPr>
            <w:tcW w:w="1418" w:type="dxa"/>
            <w:vAlign w:val="center"/>
          </w:tcPr>
          <w:p w:rsidR="000B28B9" w:rsidRPr="000B28B9" w:rsidRDefault="000B28B9" w:rsidP="000B28B9">
            <w:pPr>
              <w:spacing w:line="20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1999–2016</w:t>
            </w:r>
          </w:p>
        </w:tc>
      </w:tr>
    </w:tbl>
    <w:p w:rsidR="000B28B9" w:rsidRPr="000B28B9" w:rsidRDefault="000B28B9" w:rsidP="000B28B9">
      <w:pPr>
        <w:jc w:val="both"/>
        <w:rPr>
          <w:rFonts w:ascii="Times New Roman" w:hAnsi="Times New Roman" w:cs="Times New Roman"/>
          <w:sz w:val="20"/>
          <w:szCs w:val="20"/>
        </w:rPr>
      </w:pPr>
      <w:r w:rsidRPr="000B28B9">
        <w:rPr>
          <w:rFonts w:ascii="Times New Roman" w:hAnsi="Times New Roman" w:cs="Times New Roman"/>
          <w:sz w:val="20"/>
          <w:szCs w:val="20"/>
        </w:rPr>
        <w:t>Table 2: Variables included in the Quebec Principal Component Analyses.</w:t>
      </w:r>
    </w:p>
    <w:p w:rsidR="000B28B9" w:rsidRPr="000B28B9" w:rsidRDefault="000B28B9" w:rsidP="000B28B9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0B28B9">
        <w:rPr>
          <w:rFonts w:ascii="Times New Roman" w:hAnsi="Times New Roman" w:cs="Times New Roman"/>
          <w:b/>
          <w:sz w:val="20"/>
          <w:szCs w:val="20"/>
          <w:u w:val="single"/>
        </w:rPr>
        <w:br w:type="page"/>
      </w:r>
    </w:p>
    <w:p w:rsidR="000B28B9" w:rsidRPr="000B28B9" w:rsidRDefault="000B28B9" w:rsidP="000B28B9">
      <w:pPr>
        <w:jc w:val="both"/>
        <w:rPr>
          <w:rFonts w:ascii="Times New Roman" w:hAnsi="Times New Roman" w:cs="Times New Roman"/>
          <w:sz w:val="20"/>
          <w:szCs w:val="20"/>
        </w:rPr>
      </w:pPr>
      <w:r w:rsidRPr="000B28B9">
        <w:rPr>
          <w:rFonts w:ascii="Times New Roman" w:hAnsi="Times New Roman" w:cs="Times New Roman"/>
          <w:sz w:val="20"/>
          <w:szCs w:val="20"/>
        </w:rPr>
        <w:lastRenderedPageBreak/>
        <w:t>Table S4: Metrics used as response variables in the Generalised Additive Models.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56"/>
        <w:gridCol w:w="1638"/>
        <w:gridCol w:w="1523"/>
        <w:gridCol w:w="5768"/>
      </w:tblGrid>
      <w:tr w:rsidR="000B28B9" w:rsidRPr="000B28B9" w:rsidTr="00097DB6">
        <w:tc>
          <w:tcPr>
            <w:tcW w:w="1056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Region</w:t>
            </w:r>
          </w:p>
        </w:tc>
        <w:tc>
          <w:tcPr>
            <w:tcW w:w="1638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Fish</w:t>
            </w:r>
          </w:p>
        </w:tc>
        <w:tc>
          <w:tcPr>
            <w:tcW w:w="1523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Attribute</w:t>
            </w:r>
          </w:p>
        </w:tc>
        <w:tc>
          <w:tcPr>
            <w:tcW w:w="5768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b/>
                <w:sz w:val="20"/>
                <w:szCs w:val="20"/>
              </w:rPr>
              <w:t>Metric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NL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Capelin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Recruitment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Abundance of 2 year olds (2 year lag)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NL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Capelin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Condition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Weight at 15 cm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NL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Capelin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Abundance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Mean abundance of adults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GSL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Capelin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Condition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Fulton’s coefficient 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GSL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Herring 4R/4T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Abundance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Spawning stock biomass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GSL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Herring 4R/4T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Recruitment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Abundance of 1 year olds (1 year lag)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GSL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Herring 4R/4S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Condition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Fulton’s coefficient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GSL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Mackerel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Abundance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Spawning stock biomass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GSL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Mackerel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Condition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Fulton’s coefficient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GSL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Mackerel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Recruitment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Abundance of 1 year olds (Lagged?)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SS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Herring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Recruitment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Change in acoustically-determined biomass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SS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Herring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Abundance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Stratified mean abundance</w:t>
            </w:r>
          </w:p>
        </w:tc>
      </w:tr>
      <w:tr w:rsidR="000B28B9" w:rsidRPr="000B28B9" w:rsidTr="00097DB6">
        <w:tc>
          <w:tcPr>
            <w:tcW w:w="1056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SS</w:t>
            </w:r>
          </w:p>
        </w:tc>
        <w:tc>
          <w:tcPr>
            <w:tcW w:w="163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Herring</w:t>
            </w:r>
          </w:p>
        </w:tc>
        <w:tc>
          <w:tcPr>
            <w:tcW w:w="1523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Condition</w:t>
            </w:r>
          </w:p>
        </w:tc>
        <w:tc>
          <w:tcPr>
            <w:tcW w:w="5768" w:type="dxa"/>
            <w:vAlign w:val="center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 xml:space="preserve">Stratified mean relative weight at 28 cm </w:t>
            </w:r>
          </w:p>
        </w:tc>
      </w:tr>
      <w:tr w:rsidR="000B28B9" w:rsidRPr="000B28B9" w:rsidTr="00097DB6">
        <w:tc>
          <w:tcPr>
            <w:tcW w:w="1056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SS</w:t>
            </w:r>
          </w:p>
        </w:tc>
        <w:tc>
          <w:tcPr>
            <w:tcW w:w="1638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Silver Hake</w:t>
            </w:r>
          </w:p>
        </w:tc>
        <w:tc>
          <w:tcPr>
            <w:tcW w:w="1523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Condition</w:t>
            </w:r>
          </w:p>
        </w:tc>
        <w:tc>
          <w:tcPr>
            <w:tcW w:w="5768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Stratified random mean weight at 25 cm</w:t>
            </w:r>
          </w:p>
        </w:tc>
      </w:tr>
      <w:tr w:rsidR="000B28B9" w:rsidRPr="000B28B9" w:rsidTr="00097DB6">
        <w:tc>
          <w:tcPr>
            <w:tcW w:w="1056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SS</w:t>
            </w:r>
          </w:p>
        </w:tc>
        <w:tc>
          <w:tcPr>
            <w:tcW w:w="1638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Silver Hake</w:t>
            </w:r>
          </w:p>
        </w:tc>
        <w:tc>
          <w:tcPr>
            <w:tcW w:w="1523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Abundance</w:t>
            </w:r>
          </w:p>
        </w:tc>
        <w:tc>
          <w:tcPr>
            <w:tcW w:w="5768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Stratified random mean adult abundance</w:t>
            </w:r>
          </w:p>
        </w:tc>
      </w:tr>
      <w:tr w:rsidR="000B28B9" w:rsidRPr="000B28B9" w:rsidTr="00097DB6">
        <w:tc>
          <w:tcPr>
            <w:tcW w:w="1056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SS</w:t>
            </w:r>
          </w:p>
        </w:tc>
        <w:tc>
          <w:tcPr>
            <w:tcW w:w="1638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Silver Hake</w:t>
            </w:r>
          </w:p>
        </w:tc>
        <w:tc>
          <w:tcPr>
            <w:tcW w:w="1523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Recruitment</w:t>
            </w:r>
          </w:p>
        </w:tc>
        <w:tc>
          <w:tcPr>
            <w:tcW w:w="5768" w:type="dxa"/>
          </w:tcPr>
          <w:p w:rsidR="000B28B9" w:rsidRPr="000B28B9" w:rsidRDefault="000B28B9" w:rsidP="00097DB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8B9">
              <w:rPr>
                <w:rFonts w:ascii="Times New Roman" w:hAnsi="Times New Roman" w:cs="Times New Roman"/>
                <w:sz w:val="20"/>
                <w:szCs w:val="20"/>
              </w:rPr>
              <w:t>Stratified random mean abundance 10-18cm (1 year lag)</w:t>
            </w:r>
          </w:p>
        </w:tc>
      </w:tr>
    </w:tbl>
    <w:p w:rsidR="000B28B9" w:rsidRPr="000B28B9" w:rsidRDefault="000B28B9" w:rsidP="000B28B9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0B28B9">
        <w:rPr>
          <w:rFonts w:ascii="Times New Roman" w:hAnsi="Times New Roman" w:cs="Times New Roman"/>
          <w:b/>
          <w:sz w:val="20"/>
          <w:szCs w:val="20"/>
          <w:u w:val="single"/>
        </w:rPr>
        <w:br w:type="page"/>
      </w:r>
    </w:p>
    <w:p w:rsidR="000B28B9" w:rsidRPr="000B28B9" w:rsidRDefault="000B28B9" w:rsidP="000B28B9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0B28B9">
        <w:rPr>
          <w:rFonts w:ascii="Times New Roman" w:hAnsi="Times New Roman" w:cs="Times New Roman"/>
          <w:b/>
          <w:sz w:val="20"/>
          <w:szCs w:val="20"/>
          <w:u w:val="single"/>
        </w:rPr>
        <w:lastRenderedPageBreak/>
        <w:t>Supplementary figures</w:t>
      </w:r>
    </w:p>
    <w:p w:rsidR="000B28B9" w:rsidRPr="000B28B9" w:rsidRDefault="005C0F30" w:rsidP="000B28B9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>
        <w:rPr>
          <w:rFonts w:ascii="Times New Roman" w:hAnsi="Times New Roman" w:cs="Times New Roman"/>
          <w:noProof/>
          <w:sz w:val="20"/>
          <w:szCs w:val="20"/>
          <w:lang w:eastAsia="en-CA"/>
        </w:rPr>
        <w:lastRenderedPageBreak/>
        <w:drawing>
          <wp:inline distT="0" distB="0" distL="0" distR="0" wp14:anchorId="03BD1766" wp14:editId="08375D61">
            <wp:extent cx="5939155" cy="5444490"/>
            <wp:effectExtent l="0" t="0" r="4445" b="3810"/>
            <wp:docPr id="8" name="Picture 8" descr="E:\Reed\Fish\output\PC_cf_p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eed\Fish\output\PC_cf_phy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eastAsia="en-CA"/>
        </w:rPr>
        <w:lastRenderedPageBreak/>
        <w:drawing>
          <wp:inline distT="0" distB="0" distL="0" distR="0">
            <wp:extent cx="5939155" cy="5444490"/>
            <wp:effectExtent l="0" t="0" r="4445" b="3810"/>
            <wp:docPr id="9" name="Picture 9" descr="E:\Reed\Fish\output\PC_cf_z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Reed\Fish\output\PC_cf_zo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0"/>
          <w:szCs w:val="20"/>
          <w:u w:val="single"/>
          <w:lang w:eastAsia="en-CA"/>
        </w:rPr>
        <w:lastRenderedPageBreak/>
        <w:drawing>
          <wp:inline distT="0" distB="0" distL="0" distR="0">
            <wp:extent cx="5939155" cy="5444490"/>
            <wp:effectExtent l="0" t="0" r="4445" b="3810"/>
            <wp:docPr id="10" name="Picture 10" descr="E:\Reed\Fish\output\PC_cf_p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Reed\Fish\output\PC_cf_ph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9" w:rsidRPr="000B28B9" w:rsidRDefault="000B28B9" w:rsidP="000B28B9">
      <w:pPr>
        <w:rPr>
          <w:rFonts w:ascii="Times New Roman" w:hAnsi="Times New Roman" w:cs="Times New Roman"/>
          <w:sz w:val="20"/>
          <w:szCs w:val="20"/>
        </w:rPr>
      </w:pPr>
    </w:p>
    <w:p w:rsidR="000B28B9" w:rsidRPr="000B28B9" w:rsidRDefault="000B28B9" w:rsidP="000B28B9">
      <w:pPr>
        <w:rPr>
          <w:rFonts w:ascii="Times New Roman" w:hAnsi="Times New Roman" w:cs="Times New Roman"/>
          <w:sz w:val="20"/>
          <w:szCs w:val="20"/>
        </w:rPr>
      </w:pPr>
    </w:p>
    <w:p w:rsidR="000B28B9" w:rsidRPr="000B28B9" w:rsidRDefault="000B28B9" w:rsidP="000B28B9">
      <w:pPr>
        <w:rPr>
          <w:rFonts w:ascii="Times New Roman" w:hAnsi="Times New Roman" w:cs="Times New Roman"/>
          <w:sz w:val="20"/>
          <w:szCs w:val="20"/>
        </w:rPr>
      </w:pPr>
      <w:r w:rsidRPr="000B28B9">
        <w:rPr>
          <w:rFonts w:ascii="Times New Roman" w:hAnsi="Times New Roman" w:cs="Times New Roman"/>
          <w:sz w:val="20"/>
          <w:szCs w:val="20"/>
        </w:rPr>
        <w:br w:type="page"/>
      </w:r>
    </w:p>
    <w:p w:rsidR="000B28B9" w:rsidRPr="000B28B9" w:rsidRDefault="000B28B9" w:rsidP="000B28B9">
      <w:pPr>
        <w:rPr>
          <w:rFonts w:ascii="Times New Roman" w:hAnsi="Times New Roman" w:cs="Times New Roman"/>
          <w:sz w:val="20"/>
          <w:szCs w:val="20"/>
        </w:rPr>
      </w:pPr>
      <w:r w:rsidRPr="000B28B9">
        <w:rPr>
          <w:rFonts w:ascii="Times New Roman" w:hAnsi="Times New Roman" w:cs="Times New Roman"/>
          <w:b/>
          <w:sz w:val="20"/>
          <w:szCs w:val="20"/>
          <w:u w:val="single"/>
        </w:rPr>
        <w:lastRenderedPageBreak/>
        <w:t>Newfoundland Shelf</w:t>
      </w:r>
    </w:p>
    <w:p w:rsidR="000B28B9" w:rsidRPr="000B28B9" w:rsidRDefault="005C0F30" w:rsidP="000B28B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CA"/>
        </w:rPr>
        <w:drawing>
          <wp:inline distT="0" distB="0" distL="0" distR="0">
            <wp:extent cx="5755005" cy="4320540"/>
            <wp:effectExtent l="0" t="0" r="0" b="3810"/>
            <wp:docPr id="12" name="Picture 12" descr="E:\Reed\Fish\output\NL_score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Reed\Fish\output\NL_scores.tif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9" w:rsidRPr="000B28B9" w:rsidRDefault="000B28B9" w:rsidP="000B28B9">
      <w:pPr>
        <w:rPr>
          <w:rFonts w:ascii="Times New Roman" w:hAnsi="Times New Roman" w:cs="Times New Roman"/>
          <w:sz w:val="20"/>
          <w:szCs w:val="20"/>
        </w:rPr>
      </w:pPr>
      <w:r w:rsidRPr="000B28B9">
        <w:rPr>
          <w:rFonts w:ascii="Times New Roman" w:hAnsi="Times New Roman" w:cs="Times New Roman"/>
          <w:sz w:val="20"/>
          <w:szCs w:val="20"/>
        </w:rPr>
        <w:br w:type="page"/>
      </w:r>
    </w:p>
    <w:p w:rsidR="000B28B9" w:rsidRPr="000B28B9" w:rsidRDefault="005C0F30" w:rsidP="000B28B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CA"/>
        </w:rPr>
        <w:lastRenderedPageBreak/>
        <w:drawing>
          <wp:inline distT="0" distB="0" distL="0" distR="0">
            <wp:extent cx="5755005" cy="5755005"/>
            <wp:effectExtent l="0" t="0" r="0" b="0"/>
            <wp:docPr id="14" name="Picture 14" descr="E:\Reed\Fish\output\NL_loading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Reed\Fish\output\NL_loadings.tif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57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9" w:rsidRPr="005C0F30" w:rsidRDefault="000B28B9" w:rsidP="000B28B9">
      <w:pPr>
        <w:rPr>
          <w:rFonts w:ascii="Times New Roman" w:hAnsi="Times New Roman" w:cs="Times New Roman"/>
          <w:sz w:val="20"/>
          <w:szCs w:val="20"/>
        </w:rPr>
      </w:pPr>
      <w:r w:rsidRPr="000B28B9">
        <w:rPr>
          <w:rFonts w:ascii="Times New Roman" w:hAnsi="Times New Roman" w:cs="Times New Roman"/>
          <w:sz w:val="20"/>
          <w:szCs w:val="20"/>
        </w:rPr>
        <w:br w:type="page"/>
      </w:r>
    </w:p>
    <w:p w:rsidR="000B28B9" w:rsidRPr="000B28B9" w:rsidRDefault="000B28B9" w:rsidP="000B28B9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0B28B9">
        <w:rPr>
          <w:rFonts w:ascii="Times New Roman" w:hAnsi="Times New Roman" w:cs="Times New Roman"/>
          <w:b/>
          <w:sz w:val="20"/>
          <w:szCs w:val="20"/>
          <w:u w:val="single"/>
        </w:rPr>
        <w:lastRenderedPageBreak/>
        <w:t>Gulf of St. Lawrence</w:t>
      </w:r>
    </w:p>
    <w:p w:rsidR="000B28B9" w:rsidRPr="000B28B9" w:rsidRDefault="005C0F30" w:rsidP="000B28B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CA"/>
        </w:rPr>
        <w:drawing>
          <wp:inline distT="0" distB="0" distL="0" distR="0">
            <wp:extent cx="5755005" cy="4320540"/>
            <wp:effectExtent l="0" t="0" r="0" b="3810"/>
            <wp:docPr id="17" name="Picture 17" descr="E:\Reed\Fish\output\QC_score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Reed\Fish\output\QC_scores.tif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9" w:rsidRPr="000B28B9" w:rsidRDefault="000B28B9" w:rsidP="000B28B9">
      <w:pPr>
        <w:rPr>
          <w:rFonts w:ascii="Times New Roman" w:hAnsi="Times New Roman" w:cs="Times New Roman"/>
          <w:sz w:val="20"/>
          <w:szCs w:val="20"/>
        </w:rPr>
      </w:pPr>
      <w:r w:rsidRPr="000B28B9">
        <w:rPr>
          <w:rFonts w:ascii="Times New Roman" w:hAnsi="Times New Roman" w:cs="Times New Roman"/>
          <w:sz w:val="20"/>
          <w:szCs w:val="20"/>
        </w:rPr>
        <w:br w:type="page"/>
      </w:r>
    </w:p>
    <w:p w:rsidR="000B28B9" w:rsidRPr="000B28B9" w:rsidRDefault="005C0F30" w:rsidP="000B28B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CA"/>
        </w:rPr>
        <w:lastRenderedPageBreak/>
        <w:drawing>
          <wp:inline distT="0" distB="0" distL="0" distR="0">
            <wp:extent cx="5755005" cy="5755005"/>
            <wp:effectExtent l="0" t="0" r="0" b="0"/>
            <wp:docPr id="20" name="Picture 20" descr="E:\Reed\Fish\output\QC_loading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Reed\Fish\output\QC_loadings.tif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57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9" w:rsidRPr="000B28B9" w:rsidRDefault="000B28B9" w:rsidP="000B28B9">
      <w:pPr>
        <w:rPr>
          <w:rFonts w:ascii="Times New Roman" w:hAnsi="Times New Roman" w:cs="Times New Roman"/>
          <w:sz w:val="20"/>
          <w:szCs w:val="20"/>
        </w:rPr>
      </w:pPr>
      <w:r w:rsidRPr="000B28B9">
        <w:rPr>
          <w:rFonts w:ascii="Times New Roman" w:hAnsi="Times New Roman" w:cs="Times New Roman"/>
          <w:sz w:val="20"/>
          <w:szCs w:val="20"/>
        </w:rPr>
        <w:br w:type="page"/>
      </w:r>
      <w:bookmarkStart w:id="0" w:name="_GoBack"/>
      <w:bookmarkEnd w:id="0"/>
    </w:p>
    <w:p w:rsidR="000B28B9" w:rsidRPr="000B28B9" w:rsidRDefault="000B28B9" w:rsidP="000B28B9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0B28B9">
        <w:rPr>
          <w:rFonts w:ascii="Times New Roman" w:hAnsi="Times New Roman" w:cs="Times New Roman"/>
          <w:b/>
          <w:sz w:val="20"/>
          <w:szCs w:val="20"/>
          <w:u w:val="single"/>
        </w:rPr>
        <w:lastRenderedPageBreak/>
        <w:t>Scotian Shelf</w:t>
      </w:r>
    </w:p>
    <w:p w:rsidR="000B28B9" w:rsidRPr="000B28B9" w:rsidRDefault="00661EAC" w:rsidP="000B28B9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en-CA"/>
        </w:rPr>
        <w:drawing>
          <wp:inline distT="0" distB="0" distL="0" distR="0">
            <wp:extent cx="5755005" cy="4320540"/>
            <wp:effectExtent l="0" t="0" r="0" b="3810"/>
            <wp:docPr id="22" name="Picture 22" descr="E:\Reed\Fish\output\SS_score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Reed\Fish\output\SS_scores.tif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9" w:rsidRPr="000B28B9" w:rsidRDefault="000B28B9" w:rsidP="000B28B9">
      <w:pPr>
        <w:rPr>
          <w:rFonts w:ascii="Times New Roman" w:hAnsi="Times New Roman" w:cs="Times New Roman"/>
          <w:b/>
          <w:sz w:val="20"/>
          <w:szCs w:val="20"/>
        </w:rPr>
      </w:pPr>
      <w:r w:rsidRPr="000B28B9">
        <w:rPr>
          <w:rFonts w:ascii="Times New Roman" w:hAnsi="Times New Roman" w:cs="Times New Roman"/>
          <w:b/>
          <w:sz w:val="20"/>
          <w:szCs w:val="20"/>
        </w:rPr>
        <w:br w:type="page"/>
      </w:r>
    </w:p>
    <w:p w:rsidR="000B28B9" w:rsidRPr="000B28B9" w:rsidRDefault="00234D9A" w:rsidP="000B28B9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en-CA"/>
        </w:rPr>
        <w:lastRenderedPageBreak/>
        <w:drawing>
          <wp:inline distT="0" distB="0" distL="0" distR="0">
            <wp:extent cx="5758180" cy="5758180"/>
            <wp:effectExtent l="0" t="0" r="0" b="0"/>
            <wp:docPr id="25" name="Picture 25" descr="E:\Reed\Fish\output\SS_loading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Reed\Fish\output\SS_loadings.tif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75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A8D" w:rsidRPr="00661EAC" w:rsidRDefault="00DC6A8D">
      <w:pPr>
        <w:rPr>
          <w:rFonts w:ascii="Times New Roman" w:hAnsi="Times New Roman" w:cs="Times New Roman"/>
          <w:b/>
          <w:sz w:val="20"/>
          <w:szCs w:val="20"/>
        </w:rPr>
      </w:pPr>
    </w:p>
    <w:sectPr w:rsidR="00DC6A8D" w:rsidRPr="00661E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 Light"/>
    <w:panose1 w:val="020F0502020204030204"/>
    <w:charset w:val="00"/>
    <w:family w:val="swiss"/>
    <w:pitch w:val="variable"/>
    <w:sig w:usb0="00000001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16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8B9"/>
    <w:rsid w:val="000B28B9"/>
    <w:rsid w:val="00234D9A"/>
    <w:rsid w:val="005C0F30"/>
    <w:rsid w:val="00661EAC"/>
    <w:rsid w:val="00A4328A"/>
    <w:rsid w:val="00DC6A8D"/>
    <w:rsid w:val="00FE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C3511"/>
  <w15:docId w15:val="{6229DB0C-2CAB-42D7-AAD3-05AF39788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B2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B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8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iff"/><Relationship Id="rId5" Type="http://schemas.openxmlformats.org/officeDocument/2006/relationships/image" Target="media/image2.png"/><Relationship Id="rId10" Type="http://schemas.openxmlformats.org/officeDocument/2006/relationships/image" Target="media/image7.tiff"/><Relationship Id="rId4" Type="http://schemas.openxmlformats.org/officeDocument/2006/relationships/image" Target="media/image1.png"/><Relationship Id="rId9" Type="http://schemas.openxmlformats.org/officeDocument/2006/relationships/image" Target="media/image6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1197</Words>
  <Characters>6825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DFO-MPO</Company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Reed</dc:creator>
  <cp:lastModifiedBy>Reed, Daniel</cp:lastModifiedBy>
  <cp:revision>6</cp:revision>
  <dcterms:created xsi:type="dcterms:W3CDTF">2018-05-01T11:38:00Z</dcterms:created>
  <dcterms:modified xsi:type="dcterms:W3CDTF">2019-08-21T13:04:00Z</dcterms:modified>
</cp:coreProperties>
</file>