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drawing>
          <wp:inline distT="0" distB="0" distL="0" distR="0">
            <wp:extent cx="876300" cy="647700"/>
            <wp:effectExtent t="0" r="0" b="0" l="0"/>
            <wp:docPr id="1" name="logo" descr="TotalEnergies logo" title="TotalEnerg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47700"/>
                    </a:xfrm>
                    <a:prstGeom prst="rect">
                      <a:avLst/>
                    </a:prstGeom>
                  </pic:spPr>
                </pic:pic>
              </a:graphicData>
            </a:graphic>
          </wp:inline>
        </w:drawing>
      </w:r>
    </w:p>
    <w:p>
      <w:pPr>
        <w:spacing w:after="160"/>
      </w:pPr>
      <w:r>
        <w:rPr>
          <w:b/>
          <w:bCs/>
          <w:color w:val="14213D"/>
          <w:spacing w:val="60"/>
          <w:sz w:val="44"/>
          <w:szCs w:val="44"/>
        </w:rPr>
        <w:t xml:space="preserve">MEMO</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1500"/>
        <w:gridCol w:w="8026"/>
      </w:tblGrid>
      <w:tr>
        <w:tc>
          <w:tcPr>
            <w:tcW w:type="dxa" w:w="1500"/>
            <w:tcBorders>
              <w:top w:val="none" w:color="FFFFFF" w:sz="0"/>
              <w:left w:val="none" w:color="FFFFFF" w:sz="0"/>
              <w:bottom w:val="none" w:color="FFFFFF" w:sz="0"/>
              <w:right w:val="none" w:color="FFFFFF" w:sz="0"/>
            </w:tcBorders>
            <w:tcMar>
              <w:top w:type="dxa" w:w="40"/>
              <w:left w:type="dxa" w:w="0"/>
              <w:bottom w:type="dxa" w:w="40"/>
              <w:right w:type="dxa" w:w="100"/>
            </w:tcMar>
          </w:tcPr>
          <w:p>
            <w:r>
              <w:rPr>
                <w:b/>
                <w:bCs/>
                <w:color w:val="5F6B7A"/>
                <w:sz w:val="20"/>
                <w:szCs w:val="20"/>
              </w:rPr>
              <w:t xml:space="preserve">To</w:t>
            </w:r>
          </w:p>
        </w:tc>
        <w:tc>
          <w:tcPr>
            <w:tcW w:type="dxa" w:w="8026"/>
            <w:tcBorders>
              <w:top w:val="none" w:color="FFFFFF" w:sz="0"/>
              <w:left w:val="none" w:color="FFFFFF" w:sz="0"/>
              <w:bottom w:val="none" w:color="FFFFFF" w:sz="0"/>
              <w:right w:val="none" w:color="FFFFFF" w:sz="0"/>
            </w:tcBorders>
            <w:tcMar>
              <w:top w:type="dxa" w:w="40"/>
              <w:left w:type="dxa" w:w="0"/>
              <w:bottom w:type="dxa" w:w="40"/>
              <w:right w:type="dxa" w:w="0"/>
            </w:tcMar>
          </w:tcPr>
          <w:p>
            <w:r>
              <w:rPr>
                <w:sz w:val="20"/>
                <w:szCs w:val="20"/>
              </w:rPr>
              <w:t xml:space="preserve">EOS team and Cognite Data Fusion stakeholders</w:t>
            </w:r>
          </w:p>
        </w:tc>
      </w:tr>
      <w:tr>
        <w:tc>
          <w:tcPr>
            <w:tcW w:type="dxa" w:w="1500"/>
            <w:tcBorders>
              <w:top w:val="none" w:color="FFFFFF" w:sz="0"/>
              <w:left w:val="none" w:color="FFFFFF" w:sz="0"/>
              <w:bottom w:val="none" w:color="FFFFFF" w:sz="0"/>
              <w:right w:val="none" w:color="FFFFFF" w:sz="0"/>
            </w:tcBorders>
            <w:tcMar>
              <w:top w:type="dxa" w:w="40"/>
              <w:left w:type="dxa" w:w="0"/>
              <w:bottom w:type="dxa" w:w="40"/>
              <w:right w:type="dxa" w:w="100"/>
            </w:tcMar>
          </w:tcPr>
          <w:p>
            <w:r>
              <w:rPr>
                <w:b/>
                <w:bCs/>
                <w:color w:val="5F6B7A"/>
                <w:sz w:val="20"/>
                <w:szCs w:val="20"/>
              </w:rPr>
              <w:t xml:space="preserve">From</w:t>
            </w:r>
          </w:p>
        </w:tc>
        <w:tc>
          <w:tcPr>
            <w:tcW w:type="dxa" w:w="8026"/>
            <w:tcBorders>
              <w:top w:val="none" w:color="FFFFFF" w:sz="0"/>
              <w:left w:val="none" w:color="FFFFFF" w:sz="0"/>
              <w:bottom w:val="none" w:color="FFFFFF" w:sz="0"/>
              <w:right w:val="none" w:color="FFFFFF" w:sz="0"/>
            </w:tcBorders>
            <w:tcMar>
              <w:top w:type="dxa" w:w="40"/>
              <w:left w:type="dxa" w:w="0"/>
              <w:bottom w:type="dxa" w:w="40"/>
              <w:right w:type="dxa" w:w="0"/>
            </w:tcMar>
          </w:tcPr>
          <w:p>
            <w:r>
              <w:rPr>
                <w:sz w:val="20"/>
                <w:szCs w:val="20"/>
              </w:rPr>
              <w:t xml:space="preserve">Gaetan Desbrueres, EOS Engineer, OT/TL/EOS (CDF Technical Referent for CLOV)</w:t>
            </w:r>
          </w:p>
        </w:tc>
      </w:tr>
      <w:tr>
        <w:tc>
          <w:tcPr>
            <w:tcW w:type="dxa" w:w="1500"/>
            <w:tcBorders>
              <w:top w:val="none" w:color="FFFFFF" w:sz="0"/>
              <w:left w:val="none" w:color="FFFFFF" w:sz="0"/>
              <w:bottom w:val="none" w:color="FFFFFF" w:sz="0"/>
              <w:right w:val="none" w:color="FFFFFF" w:sz="0"/>
            </w:tcBorders>
            <w:tcMar>
              <w:top w:type="dxa" w:w="40"/>
              <w:left w:type="dxa" w:w="0"/>
              <w:bottom w:type="dxa" w:w="40"/>
              <w:right w:type="dxa" w:w="100"/>
            </w:tcMar>
          </w:tcPr>
          <w:p>
            <w:r>
              <w:rPr>
                <w:b/>
                <w:bCs/>
                <w:color w:val="5F6B7A"/>
                <w:sz w:val="20"/>
                <w:szCs w:val="20"/>
              </w:rPr>
              <w:t xml:space="preserve">Date</w:t>
            </w:r>
          </w:p>
        </w:tc>
        <w:tc>
          <w:tcPr>
            <w:tcW w:type="dxa" w:w="8026"/>
            <w:tcBorders>
              <w:top w:val="none" w:color="FFFFFF" w:sz="0"/>
              <w:left w:val="none" w:color="FFFFFF" w:sz="0"/>
              <w:bottom w:val="none" w:color="FFFFFF" w:sz="0"/>
              <w:right w:val="none" w:color="FFFFFF" w:sz="0"/>
            </w:tcBorders>
            <w:tcMar>
              <w:top w:type="dxa" w:w="40"/>
              <w:left w:type="dxa" w:w="0"/>
              <w:bottom w:type="dxa" w:w="40"/>
              <w:right w:type="dxa" w:w="0"/>
            </w:tcMar>
          </w:tcPr>
          <w:p>
            <w:r>
              <w:rPr>
                <w:sz w:val="20"/>
                <w:szCs w:val="20"/>
              </w:rPr>
              <w:t xml:space="preserve">6 October 2026</w:t>
            </w:r>
          </w:p>
        </w:tc>
      </w:tr>
      <w:tr>
        <w:tc>
          <w:tcPr>
            <w:tcW w:type="dxa" w:w="1500"/>
            <w:tcBorders>
              <w:top w:val="none" w:color="FFFFFF" w:sz="0"/>
              <w:left w:val="none" w:color="FFFFFF" w:sz="0"/>
              <w:bottom w:val="none" w:color="FFFFFF" w:sz="0"/>
              <w:right w:val="none" w:color="FFFFFF" w:sz="0"/>
            </w:tcBorders>
            <w:tcMar>
              <w:top w:type="dxa" w:w="40"/>
              <w:left w:type="dxa" w:w="0"/>
              <w:bottom w:type="dxa" w:w="40"/>
              <w:right w:type="dxa" w:w="100"/>
            </w:tcMar>
          </w:tcPr>
          <w:p>
            <w:r>
              <w:rPr>
                <w:b/>
                <w:bCs/>
                <w:color w:val="5F6B7A"/>
                <w:sz w:val="20"/>
                <w:szCs w:val="20"/>
              </w:rPr>
              <w:t xml:space="preserve">Subject</w:t>
            </w:r>
          </w:p>
        </w:tc>
        <w:tc>
          <w:tcPr>
            <w:tcW w:type="dxa" w:w="8026"/>
            <w:tcBorders>
              <w:top w:val="none" w:color="FFFFFF" w:sz="0"/>
              <w:left w:val="none" w:color="FFFFFF" w:sz="0"/>
              <w:bottom w:val="none" w:color="FFFFFF" w:sz="0"/>
              <w:right w:val="none" w:color="FFFFFF" w:sz="0"/>
            </w:tcBorders>
            <w:tcMar>
              <w:top w:type="dxa" w:w="40"/>
              <w:left w:type="dxa" w:w="0"/>
              <w:bottom w:type="dxa" w:w="40"/>
              <w:right w:type="dxa" w:w="0"/>
            </w:tcMar>
          </w:tcPr>
          <w:p>
            <w:r>
              <w:rPr>
                <w:b/>
                <w:bCs/>
                <w:sz w:val="20"/>
                <w:szCs w:val="20"/>
              </w:rPr>
              <w:t xml:space="preserve">Cognite Data Fusion Bootcamp: end-to-end OEE pipeline built as code and running in test and production</w:t>
            </w:r>
          </w:p>
        </w:tc>
      </w:tr>
    </w:tbl>
    <w:p>
      <w:pPr>
        <w:pBdr>
          <w:bottom w:val="single" w:color="14213D" w:sz="12" w:space="1"/>
        </w:pBdr>
        <w:spacing w:after="160" w:before="100"/>
      </w:pPr>
    </w:p>
    <w:p>
      <w:pPr>
        <w:pStyle w:val="Heading1"/>
      </w:pPr>
      <w:r>
        <w:t xml:space="preserve">1. Executive summary</w:t>
      </w:r>
    </w:p>
    <w:p>
      <w:pPr>
        <w:spacing w:after="120" w:line="288"/>
      </w:pPr>
      <w:r>
        <w:t xml:space="preserve">The Cognite Data Fusion (CDF) Bootcamp, held from 5 to 8 October 2026, has each participant build an end-to-end data solution for a fictional Ice Cream Factory, entirely as code: ingest assets and time series from a REST API, structure them in a data model, calculate Overall Equipment Effectiveness (OEE), orchestrate the pipeline, and use the result in Charts and Canvas.</w:t>
      </w:r>
    </w:p>
    <w:p>
      <w:pPr>
        <w:spacing w:after="120" w:line="288"/>
      </w:pPr>
      <w:r>
        <w:rPr>
          <w:b/>
          <w:bCs/>
        </w:rPr>
        <w:t xml:space="preserve">As of 6 October, the complete pipeline is deployed and running unattended in both the test and the production project, with identical and verified results.</w:t>
      </w:r>
      <w:r>
        <w:t xml:space="preserve"> This was confirmed on the morning of 6 October, after a night of unattended operation, by an automated health check of 21 read-only controls per project. The work planned for the first three bootcamp days was completed on 5 October, and the Charts and Canvas exercises of the fourth day on 6 October, which closes the programme.</w:t>
      </w:r>
    </w:p>
    <w:p>
      <w:pPr>
        <w:pStyle w:val="ListParagraph"/>
        <w:numPr>
          <w:ilvl w:val="0"/>
          <w:numId w:val="2"/>
        </w:numPr>
        <w:spacing w:after="70" w:line="280"/>
      </w:pPr>
      <w:r>
        <w:rPr>
          <w:b/>
          <w:bCs/>
        </w:rPr>
        <w:t xml:space="preserve">Scope delivered.</w:t>
      </w:r>
      <w:r>
        <w:t xml:space="preserve"> 28 CDF resources per environment, all defined in configuration files and deployed with the Cognite Toolkit: access groups, data sets, staging, hosted extractors, transformations, functions, schedules and a data workflow.</w:t>
      </w:r>
    </w:p>
    <w:p>
      <w:pPr>
        <w:pStyle w:val="ListParagraph"/>
        <w:numPr>
          <w:ilvl w:val="0"/>
          <w:numId w:val="2"/>
        </w:numPr>
        <w:spacing w:after="70" w:line="280"/>
      </w:pPr>
      <w:r>
        <w:rPr>
          <w:b/>
          <w:bCs/>
        </w:rPr>
        <w:t xml:space="preserve">Data in place.</w:t>
      </w:r>
      <w:r>
        <w:t xml:space="preserve"> 1,021 assets organised in a five-level hierarchy and 5,652 time series (2,512 measured, 3,140 calculated), with 14 days of history, in each environment.</w:t>
      </w:r>
    </w:p>
    <w:p>
      <w:pPr>
        <w:pStyle w:val="ListParagraph"/>
        <w:numPr>
          <w:ilvl w:val="0"/>
          <w:numId w:val="2"/>
        </w:numPr>
        <w:spacing w:after="70" w:line="280"/>
      </w:pPr>
      <w:r>
        <w:rPr>
          <w:b/>
          <w:bCs/>
        </w:rPr>
        <w:t xml:space="preserve">Reproducibility demonstrated.</w:t>
      </w:r>
      <w:r>
        <w:t xml:space="preserve"> Production reached a complete and verified state 44 minutes after its main deployment, using the same files as test with different values only.</w:t>
      </w:r>
    </w:p>
    <w:p>
      <w:pPr>
        <w:pStyle w:val="ListParagraph"/>
        <w:numPr>
          <w:ilvl w:val="0"/>
          <w:numId w:val="2"/>
        </w:numPr>
        <w:spacing w:after="70" w:line="280"/>
      </w:pPr>
      <w:r>
        <w:rPr>
          <w:b/>
          <w:bCs/>
        </w:rPr>
        <w:t xml:space="preserve">Two findings beyond the course material.</w:t>
      </w:r>
      <w:r>
        <w:t xml:space="preserve"> A platform-computed asset property (</w:t>
      </w:r>
      <w:r>
        <w:rPr>
          <w:rFonts w:ascii="Consolas" w:cs="Consolas" w:eastAsia="Consolas" w:hAnsi="Consolas"/>
          <w:sz w:val="20"/>
          <w:szCs w:val="20"/>
        </w:rPr>
        <w:t xml:space="preserve">path</w:t>
      </w:r>
      <w:r>
        <w:t xml:space="preserve">) was incomplete after the standard load and silently excluded up to 32% of the time series from downstream processing; and a single-pass production deployment would have started the extractors before their access rights existed. Both were diagnosed, fixed and documented.</w:t>
      </w:r>
    </w:p>
    <w:p>
      <w:pPr>
        <w:pStyle w:val="ListParagraph"/>
        <w:numPr>
          <w:ilvl w:val="0"/>
          <w:numId w:val="2"/>
        </w:numPr>
        <w:spacing w:after="70" w:line="280"/>
      </w:pPr>
      <w:r>
        <w:rPr>
          <w:b/>
          <w:bCs/>
        </w:rPr>
        <w:t xml:space="preserve">Data put to use.</w:t>
      </w:r>
      <w:r>
        <w:t xml:space="preserve"> A chart with an independent recalculation of OEE and an alert, and a canvas that explains the OEE drops of one machine: 28 stops in 15 days, 13 of them unplanned.</w:t>
      </w:r>
    </w:p>
    <w:p>
      <w:pPr>
        <w:pStyle w:val="ListParagraph"/>
        <w:numPr>
          <w:ilvl w:val="0"/>
          <w:numId w:val="2"/>
        </w:numPr>
        <w:spacing w:after="70" w:line="280"/>
      </w:pPr>
      <w:r>
        <w:rPr>
          <w:b/>
          <w:bCs/>
        </w:rPr>
        <w:t xml:space="preserve">Remaining.</w:t>
      </w:r>
      <w:r>
        <w:t xml:space="preserve"> The post-bootcamp quiz, and the GitHub repository part of the evaluation: the work was done locally, and the move to a repository with GitHub Actions is documented (section 9) but not yet executed.</w:t>
      </w:r>
    </w:p>
    <w:p>
      <w:pPr>
        <w:spacing w:after="80"/>
      </w:pP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4763"/>
        <w:gridCol w:w="2382"/>
        <w:gridCol w:w="2381"/>
      </w:tblGrid>
      <w:tr>
        <w:trPr>
          <w:tblHeader/>
        </w:trPr>
        <w:tc>
          <w:tcPr>
            <w:tcW w:type="dxa" w:w="4763"/>
            <w:tcBorders>
              <w:top w:val="single" w:color="B8C4D6" w:sz="4"/>
              <w:left w:val="single" w:color="B8C4D6" w:sz="4"/>
              <w:bottom w:val="single" w:color="B8C4D6" w:sz="4"/>
              <w:right w:val="single" w:color="B8C4D6" w:sz="4"/>
            </w:tcBorders>
            <w:shd w:fill="E8EEF5" w:color="auto" w:val="clear"/>
            <w:tcMar>
              <w:top w:type="dxa" w:w="70"/>
              <w:left w:type="dxa" w:w="110"/>
              <w:bottom w:type="dxa" w:w="70"/>
              <w:right w:type="dxa" w:w="110"/>
            </w:tcMar>
            <w:vAlign w:val="center"/>
          </w:tcPr>
          <w:p>
            <w:pPr>
              <w:keepNext/>
              <w:jc w:val="left"/>
            </w:pPr>
            <w:r>
              <w:rPr>
                <w:b/>
                <w:bCs/>
                <w:color w:val="14213D"/>
                <w:sz w:val="18"/>
                <w:szCs w:val="18"/>
              </w:rPr>
              <w:t xml:space="preserve">Key figure</w:t>
            </w:r>
          </w:p>
        </w:tc>
        <w:tc>
          <w:tcPr>
            <w:tcW w:type="dxa" w:w="2382"/>
            <w:tcBorders>
              <w:top w:val="single" w:color="B8C4D6" w:sz="4"/>
              <w:left w:val="single" w:color="B8C4D6" w:sz="4"/>
              <w:bottom w:val="single" w:color="B8C4D6" w:sz="4"/>
              <w:right w:val="single" w:color="B8C4D6" w:sz="4"/>
            </w:tcBorders>
            <w:shd w:fill="E8EEF5" w:color="auto" w:val="clear"/>
            <w:tcMar>
              <w:top w:type="dxa" w:w="70"/>
              <w:left w:type="dxa" w:w="110"/>
              <w:bottom w:type="dxa" w:w="70"/>
              <w:right w:type="dxa" w:w="110"/>
            </w:tcMar>
            <w:vAlign w:val="center"/>
          </w:tcPr>
          <w:p>
            <w:pPr>
              <w:keepNext/>
              <w:jc w:val="right"/>
            </w:pPr>
            <w:r>
              <w:rPr>
                <w:b/>
                <w:bCs/>
                <w:color w:val="14213D"/>
                <w:sz w:val="18"/>
                <w:szCs w:val="18"/>
              </w:rPr>
              <w:t xml:space="preserve">Test</w:t>
            </w:r>
          </w:p>
        </w:tc>
        <w:tc>
          <w:tcPr>
            <w:tcW w:type="dxa" w:w="2381"/>
            <w:tcBorders>
              <w:top w:val="single" w:color="B8C4D6" w:sz="4"/>
              <w:left w:val="single" w:color="B8C4D6" w:sz="4"/>
              <w:bottom w:val="single" w:color="B8C4D6" w:sz="4"/>
              <w:right w:val="single" w:color="B8C4D6" w:sz="4"/>
            </w:tcBorders>
            <w:shd w:fill="E8EEF5" w:color="auto" w:val="clear"/>
            <w:tcMar>
              <w:top w:type="dxa" w:w="70"/>
              <w:left w:type="dxa" w:w="110"/>
              <w:bottom w:type="dxa" w:w="70"/>
              <w:right w:type="dxa" w:w="110"/>
            </w:tcMar>
            <w:vAlign w:val="center"/>
          </w:tcPr>
          <w:p>
            <w:pPr>
              <w:keepNext/>
              <w:jc w:val="right"/>
            </w:pPr>
            <w:r>
              <w:rPr>
                <w:b/>
                <w:bCs/>
                <w:color w:val="14213D"/>
                <w:sz w:val="18"/>
                <w:szCs w:val="18"/>
              </w:rPr>
              <w:t xml:space="preserve">Production</w:t>
            </w:r>
          </w:p>
        </w:tc>
      </w:tr>
      <w:tr>
        <w:trPr>
          <w:cantSplit/>
        </w:trPr>
        <w:tc>
          <w:tcPr>
            <w:tcW w:type="dxa" w:w="4763"/>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b w:val="false"/>
                <w:bCs w:val="false"/>
                <w:color w:val="2B2B2B"/>
                <w:sz w:val="18"/>
                <w:szCs w:val="18"/>
              </w:rPr>
              <w:t xml:space="preserve">CDF resources deployed</w:t>
            </w:r>
          </w:p>
        </w:tc>
        <w:tc>
          <w:tcPr>
            <w:tcW w:type="dxa" w:w="2382"/>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right"/>
            </w:pPr>
            <w:r>
              <w:rPr>
                <w:b w:val="false"/>
                <w:bCs w:val="false"/>
                <w:color w:val="2B2B2B"/>
                <w:sz w:val="18"/>
                <w:szCs w:val="18"/>
              </w:rPr>
              <w:t xml:space="preserve">28</w:t>
            </w:r>
          </w:p>
        </w:tc>
        <w:tc>
          <w:tcPr>
            <w:tcW w:type="dxa" w:w="2381"/>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right"/>
            </w:pPr>
            <w:r>
              <w:rPr>
                <w:b w:val="false"/>
                <w:bCs w:val="false"/>
                <w:color w:val="2B2B2B"/>
                <w:sz w:val="18"/>
                <w:szCs w:val="18"/>
              </w:rPr>
              <w:t xml:space="preserve">28</w:t>
            </w:r>
          </w:p>
        </w:tc>
      </w:tr>
      <w:tr>
        <w:trPr>
          <w:cantSplit/>
        </w:trPr>
        <w:tc>
          <w:tcPr>
            <w:tcW w:type="dxa" w:w="4763"/>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b w:val="false"/>
                <w:bCs w:val="false"/>
                <w:color w:val="2B2B2B"/>
                <w:sz w:val="18"/>
                <w:szCs w:val="18"/>
              </w:rPr>
              <w:t xml:space="preserve">Assets (of which root sites)</w:t>
            </w:r>
          </w:p>
        </w:tc>
        <w:tc>
          <w:tcPr>
            <w:tcW w:type="dxa" w:w="2382"/>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right"/>
            </w:pPr>
            <w:r>
              <w:rPr>
                <w:b w:val="false"/>
                <w:bCs w:val="false"/>
                <w:color w:val="2B2B2B"/>
                <w:sz w:val="18"/>
                <w:szCs w:val="18"/>
              </w:rPr>
              <w:t xml:space="preserve">1,021 (10)</w:t>
            </w:r>
          </w:p>
        </w:tc>
        <w:tc>
          <w:tcPr>
            <w:tcW w:type="dxa" w:w="2381"/>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right"/>
            </w:pPr>
            <w:r>
              <w:rPr>
                <w:b w:val="false"/>
                <w:bCs w:val="false"/>
                <w:color w:val="2B2B2B"/>
                <w:sz w:val="18"/>
                <w:szCs w:val="18"/>
              </w:rPr>
              <w:t xml:space="preserve">1,021 (10)</w:t>
            </w:r>
          </w:p>
        </w:tc>
      </w:tr>
      <w:tr>
        <w:trPr>
          <w:cantSplit/>
        </w:trPr>
        <w:tc>
          <w:tcPr>
            <w:tcW w:type="dxa" w:w="4763"/>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b w:val="false"/>
                <w:bCs w:val="false"/>
                <w:color w:val="2B2B2B"/>
                <w:sz w:val="18"/>
                <w:szCs w:val="18"/>
              </w:rPr>
              <w:t xml:space="preserve">Measured time series containing values</w:t>
            </w:r>
          </w:p>
        </w:tc>
        <w:tc>
          <w:tcPr>
            <w:tcW w:type="dxa" w:w="2382"/>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right"/>
            </w:pPr>
            <w:r>
              <w:rPr>
                <w:b w:val="false"/>
                <w:bCs w:val="false"/>
                <w:color w:val="2B2B2B"/>
                <w:sz w:val="18"/>
                <w:szCs w:val="18"/>
              </w:rPr>
              <w:t xml:space="preserve">2,512</w:t>
            </w:r>
          </w:p>
        </w:tc>
        <w:tc>
          <w:tcPr>
            <w:tcW w:type="dxa" w:w="2381"/>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right"/>
            </w:pPr>
            <w:r>
              <w:rPr>
                <w:b w:val="false"/>
                <w:bCs w:val="false"/>
                <w:color w:val="2B2B2B"/>
                <w:sz w:val="18"/>
                <w:szCs w:val="18"/>
              </w:rPr>
              <w:t xml:space="preserve">2,512</w:t>
            </w:r>
          </w:p>
        </w:tc>
      </w:tr>
      <w:tr>
        <w:trPr>
          <w:cantSplit/>
        </w:trPr>
        <w:tc>
          <w:tcPr>
            <w:tcW w:type="dxa" w:w="4763"/>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b w:val="false"/>
                <w:bCs w:val="false"/>
                <w:color w:val="2B2B2B"/>
                <w:sz w:val="18"/>
                <w:szCs w:val="18"/>
              </w:rPr>
              <w:t xml:space="preserve">Calculated OEE time series containing values</w:t>
            </w:r>
          </w:p>
        </w:tc>
        <w:tc>
          <w:tcPr>
            <w:tcW w:type="dxa" w:w="2382"/>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right"/>
            </w:pPr>
            <w:r>
              <w:rPr>
                <w:b w:val="false"/>
                <w:bCs w:val="false"/>
                <w:color w:val="2B2B2B"/>
                <w:sz w:val="18"/>
                <w:szCs w:val="18"/>
              </w:rPr>
              <w:t xml:space="preserve">3,140</w:t>
            </w:r>
          </w:p>
        </w:tc>
        <w:tc>
          <w:tcPr>
            <w:tcW w:type="dxa" w:w="2381"/>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right"/>
            </w:pPr>
            <w:r>
              <w:rPr>
                <w:b w:val="false"/>
                <w:bCs w:val="false"/>
                <w:color w:val="2B2B2B"/>
                <w:sz w:val="18"/>
                <w:szCs w:val="18"/>
              </w:rPr>
              <w:t xml:space="preserve">3,140</w:t>
            </w:r>
          </w:p>
        </w:tc>
      </w:tr>
      <w:tr>
        <w:trPr>
          <w:cantSplit/>
        </w:trPr>
        <w:tc>
          <w:tcPr>
            <w:tcW w:type="dxa" w:w="4763"/>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Total time series</w:t>
            </w:r>
          </w:p>
        </w:tc>
        <w:tc>
          <w:tcPr>
            <w:tcW w:type="dxa" w:w="2382"/>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right"/>
            </w:pPr>
            <w:r>
              <w:rPr>
                <w:b w:val="false"/>
                <w:bCs w:val="false"/>
                <w:color w:val="2B2B2B"/>
                <w:sz w:val="18"/>
                <w:szCs w:val="18"/>
              </w:rPr>
              <w:t xml:space="preserve">5,652</w:t>
            </w:r>
          </w:p>
        </w:tc>
        <w:tc>
          <w:tcPr>
            <w:tcW w:type="dxa" w:w="2381"/>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right"/>
            </w:pPr>
            <w:r>
              <w:rPr>
                <w:b w:val="false"/>
                <w:bCs w:val="false"/>
                <w:color w:val="2B2B2B"/>
                <w:sz w:val="18"/>
                <w:szCs w:val="18"/>
              </w:rPr>
              <w:t xml:space="preserve">5,652</w:t>
            </w:r>
          </w:p>
        </w:tc>
      </w:tr>
    </w:tbl>
    <w:p>
      <w:pPr>
        <w:pStyle w:val="Heading1"/>
      </w:pPr>
      <w:r>
        <w:t xml:space="preserve">2. Context and objectives</w:t>
      </w:r>
    </w:p>
    <w:p>
      <w:pPr>
        <w:spacing w:after="120" w:line="288"/>
      </w:pPr>
      <w:r>
        <w:t xml:space="preserve">The bootcamp is Cognite's hands-on training for delivering a CDF project the way a production project is expected to be delivered: configuration as code, separate test and production projects, least-privilege access, and automated orchestration. It runs in a dedicated training tenant (organisation </w:t>
      </w:r>
      <w:r>
        <w:rPr>
          <w:rFonts w:ascii="Consolas" w:cs="Consolas" w:eastAsia="Consolas" w:hAnsi="Consolas"/>
          <w:sz w:val="20"/>
          <w:szCs w:val="20"/>
        </w:rPr>
        <w:t xml:space="preserve">cog-enablement-bootcamp</w:t>
      </w:r>
      <w:r>
        <w:t xml:space="preserve">, cluster </w:t>
      </w:r>
      <w:r>
        <w:rPr>
          <w:rFonts w:ascii="Consolas" w:cs="Consolas" w:eastAsia="Consolas" w:hAnsi="Consolas"/>
          <w:sz w:val="20"/>
          <w:szCs w:val="20"/>
        </w:rPr>
        <w:t xml:space="preserve">westeurope-1</w:t>
      </w:r>
      <w:r>
        <w:t xml:space="preserve">) with its own Microsoft Entra ID directory. It has no connection with any TotalEnergies CDF project.</w:t>
      </w:r>
    </w:p>
    <w:p>
      <w:pPr>
        <w:spacing w:after="120" w:line="288"/>
      </w:pPr>
      <w:r>
        <w:t xml:space="preserve">Each participant receives two CDF projects, here </w:t>
      </w:r>
      <w:r>
        <w:rPr>
          <w:rFonts w:ascii="Consolas" w:cs="Consolas" w:eastAsia="Consolas" w:hAnsi="Consolas"/>
          <w:sz w:val="20"/>
          <w:szCs w:val="20"/>
        </w:rPr>
        <w:t xml:space="preserve">cdf-bootcamp-33-test</w:t>
      </w:r>
      <w:r>
        <w:t xml:space="preserve"> and </w:t>
      </w:r>
      <w:r>
        <w:rPr>
          <w:rFonts w:ascii="Consolas" w:cs="Consolas" w:eastAsia="Consolas" w:hAnsi="Consolas"/>
          <w:sz w:val="20"/>
          <w:szCs w:val="20"/>
        </w:rPr>
        <w:t xml:space="preserve">cdf-bootcamp-33-prod</w:t>
      </w:r>
      <w:r>
        <w:t xml:space="preserve">. The evaluation has four components, with a 70% pass mark: the CDF projects (40%, all data present in test and production), the GitHub repository (20%), the Canvas (20%) and a multiple-choice quiz (20%).</w:t>
      </w:r>
    </w:p>
    <w:p>
      <w:pPr>
        <w:spacing w:after="120" w:line="288"/>
      </w:pPr>
      <w:r>
        <w:t xml:space="preserve">The objective of this memo is to record what was built, the data it produces, the problems met and how they were solved, so that the approach can be reused and explained.</w:t>
      </w:r>
    </w:p>
    <w:p>
      <w:pPr>
        <w:pStyle w:val="Heading1"/>
      </w:pPr>
      <w:r>
        <w:t xml:space="preserve">3. Solution overview</w:t>
      </w:r>
    </w:p>
    <w:p>
      <w:pPr>
        <w:spacing w:after="120" w:line="288"/>
      </w:pPr>
      <w:r>
        <w:t xml:space="preserve">The solution is a chain of seven building blocks. Each one is a set of YAML or SQL files in the project folder; nothing is configured by hand in the user interface except the single group that authorises the deployment tool.</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1334"/>
        <w:gridCol w:w="2382"/>
        <w:gridCol w:w="4096"/>
        <w:gridCol w:w="1714"/>
      </w:tblGrid>
      <w:tr>
        <w:trPr>
          <w:tblHeader/>
        </w:trPr>
        <w:tc>
          <w:tcPr>
            <w:tcW w:type="dxa" w:w="1334"/>
            <w:tcBorders>
              <w:top w:val="single" w:color="B8C4D6" w:sz="4"/>
              <w:left w:val="single" w:color="B8C4D6" w:sz="4"/>
              <w:bottom w:val="single" w:color="B8C4D6" w:sz="4"/>
              <w:right w:val="single" w:color="B8C4D6" w:sz="4"/>
            </w:tcBorders>
            <w:shd w:fill="E8EEF5" w:color="auto" w:val="clear"/>
            <w:tcMar>
              <w:top w:type="dxa" w:w="70"/>
              <w:left w:type="dxa" w:w="110"/>
              <w:bottom w:type="dxa" w:w="70"/>
              <w:right w:type="dxa" w:w="110"/>
            </w:tcMar>
            <w:vAlign w:val="center"/>
          </w:tcPr>
          <w:p>
            <w:pPr>
              <w:keepNext w:val="false"/>
              <w:jc w:val="left"/>
            </w:pPr>
            <w:r>
              <w:rPr>
                <w:b/>
                <w:bCs/>
                <w:color w:val="14213D"/>
                <w:sz w:val="18"/>
                <w:szCs w:val="18"/>
              </w:rPr>
              <w:t xml:space="preserve">Stage</w:t>
            </w:r>
          </w:p>
        </w:tc>
        <w:tc>
          <w:tcPr>
            <w:tcW w:type="dxa" w:w="2382"/>
            <w:tcBorders>
              <w:top w:val="single" w:color="B8C4D6" w:sz="4"/>
              <w:left w:val="single" w:color="B8C4D6" w:sz="4"/>
              <w:bottom w:val="single" w:color="B8C4D6" w:sz="4"/>
              <w:right w:val="single" w:color="B8C4D6" w:sz="4"/>
            </w:tcBorders>
            <w:shd w:fill="E8EEF5" w:color="auto" w:val="clear"/>
            <w:tcMar>
              <w:top w:type="dxa" w:w="70"/>
              <w:left w:type="dxa" w:w="110"/>
              <w:bottom w:type="dxa" w:w="70"/>
              <w:right w:type="dxa" w:w="110"/>
            </w:tcMar>
            <w:vAlign w:val="center"/>
          </w:tcPr>
          <w:p>
            <w:pPr>
              <w:keepNext w:val="false"/>
              <w:jc w:val="left"/>
            </w:pPr>
            <w:r>
              <w:rPr>
                <w:b/>
                <w:bCs/>
                <w:color w:val="14213D"/>
                <w:sz w:val="18"/>
                <w:szCs w:val="18"/>
              </w:rPr>
              <w:t xml:space="preserve">CDF components</w:t>
            </w:r>
          </w:p>
        </w:tc>
        <w:tc>
          <w:tcPr>
            <w:tcW w:type="dxa" w:w="4096"/>
            <w:tcBorders>
              <w:top w:val="single" w:color="B8C4D6" w:sz="4"/>
              <w:left w:val="single" w:color="B8C4D6" w:sz="4"/>
              <w:bottom w:val="single" w:color="B8C4D6" w:sz="4"/>
              <w:right w:val="single" w:color="B8C4D6" w:sz="4"/>
            </w:tcBorders>
            <w:shd w:fill="E8EEF5" w:color="auto" w:val="clear"/>
            <w:tcMar>
              <w:top w:type="dxa" w:w="70"/>
              <w:left w:type="dxa" w:w="110"/>
              <w:bottom w:type="dxa" w:w="70"/>
              <w:right w:type="dxa" w:w="110"/>
            </w:tcMar>
            <w:vAlign w:val="center"/>
          </w:tcPr>
          <w:p>
            <w:pPr>
              <w:keepNext w:val="false"/>
              <w:jc w:val="left"/>
            </w:pPr>
            <w:r>
              <w:rPr>
                <w:b/>
                <w:bCs/>
                <w:color w:val="14213D"/>
                <w:sz w:val="18"/>
                <w:szCs w:val="18"/>
              </w:rPr>
              <w:t xml:space="preserve">What it does</w:t>
            </w:r>
          </w:p>
        </w:tc>
        <w:tc>
          <w:tcPr>
            <w:tcW w:type="dxa" w:w="1714"/>
            <w:tcBorders>
              <w:top w:val="single" w:color="B8C4D6" w:sz="4"/>
              <w:left w:val="single" w:color="B8C4D6" w:sz="4"/>
              <w:bottom w:val="single" w:color="B8C4D6" w:sz="4"/>
              <w:right w:val="single" w:color="B8C4D6" w:sz="4"/>
            </w:tcBorders>
            <w:shd w:fill="E8EEF5" w:color="auto" w:val="clear"/>
            <w:tcMar>
              <w:top w:type="dxa" w:w="70"/>
              <w:left w:type="dxa" w:w="110"/>
              <w:bottom w:type="dxa" w:w="70"/>
              <w:right w:type="dxa" w:w="110"/>
            </w:tcMar>
            <w:vAlign w:val="center"/>
          </w:tcPr>
          <w:p>
            <w:pPr>
              <w:keepNext w:val="false"/>
              <w:jc w:val="left"/>
            </w:pPr>
            <w:r>
              <w:rPr>
                <w:b/>
                <w:bCs/>
                <w:color w:val="14213D"/>
                <w:sz w:val="18"/>
                <w:szCs w:val="18"/>
              </w:rPr>
              <w:t xml:space="preserve">Runs</w:t>
            </w:r>
          </w:p>
        </w:tc>
      </w:tr>
      <w:tr>
        <w:trPr>
          <w:cantSplit/>
        </w:trPr>
        <w:tc>
          <w:tcPr>
            <w:tcW w:type="dxa" w:w="133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Access</w:t>
            </w:r>
          </w:p>
        </w:tc>
        <w:tc>
          <w:tcPr>
            <w:tcW w:type="dxa" w:w="2382"/>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6 service principals, 4 CDF groups per environment</w:t>
            </w:r>
          </w:p>
        </w:tc>
        <w:tc>
          <w:tcPr>
            <w:tcW w:type="dxa" w:w="4096"/>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Links Entra ID identities to CDF rights through the group Object ID (</w:t>
            </w:r>
            <w:r>
              <w:rPr>
                <w:rFonts w:ascii="Consolas" w:cs="Consolas" w:eastAsia="Consolas" w:hAnsi="Consolas"/>
                <w:b w:val="false"/>
                <w:bCs w:val="false"/>
                <w:color w:val="2B2B2B"/>
                <w:sz w:val="17"/>
                <w:szCs w:val="17"/>
              </w:rPr>
              <w:t xml:space="preserve">sourceId</w:t>
            </w:r>
            <w:r>
              <w:rPr>
                <w:b w:val="false"/>
                <w:bCs w:val="false"/>
                <w:color w:val="2B2B2B"/>
                <w:sz w:val="18"/>
                <w:szCs w:val="18"/>
              </w:rPr>
              <w:t xml:space="preserve">). One group per use case, scoped to its data set.</w:t>
            </w:r>
          </w:p>
        </w:tc>
        <w:tc>
          <w:tcPr>
            <w:tcW w:type="dxa" w:w="171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Static</w:t>
            </w:r>
          </w:p>
        </w:tc>
      </w:tr>
      <w:tr>
        <w:trPr>
          <w:cantSplit/>
        </w:trPr>
        <w:tc>
          <w:tcPr>
            <w:tcW w:type="dxa" w:w="133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Ingestion</w:t>
            </w:r>
          </w:p>
        </w:tc>
        <w:tc>
          <w:tcPr>
            <w:tcW w:type="dxa" w:w="2382"/>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2 hosted extractors (source, mapping, destination, job)</w:t>
            </w:r>
          </w:p>
        </w:tc>
        <w:tc>
          <w:tcPr>
            <w:tcW w:type="dxa" w:w="4096"/>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Loads the asset list into the RAW staging table and creates the time series in the data model.</w:t>
            </w:r>
          </w:p>
        </w:tc>
        <w:tc>
          <w:tcPr>
            <w:tcW w:type="dxa" w:w="171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Daily and hourly</w:t>
            </w:r>
          </w:p>
        </w:tc>
      </w:tr>
      <w:tr>
        <w:trPr>
          <w:cantSplit/>
        </w:trPr>
        <w:tc>
          <w:tcPr>
            <w:tcW w:type="dxa" w:w="133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Modeling</w:t>
            </w:r>
          </w:p>
        </w:tc>
        <w:tc>
          <w:tcPr>
            <w:tcW w:type="dxa" w:w="2382"/>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2 transformations (Spark SQL)</w:t>
            </w:r>
          </w:p>
        </w:tc>
        <w:tc>
          <w:tcPr>
            <w:tcW w:type="dxa" w:w="4096"/>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Builds the </w:t>
            </w:r>
            <w:r>
              <w:rPr>
                <w:rFonts w:ascii="Consolas" w:cs="Consolas" w:eastAsia="Consolas" w:hAnsi="Consolas"/>
                <w:b w:val="false"/>
                <w:bCs w:val="false"/>
                <w:color w:val="2B2B2B"/>
                <w:sz w:val="17"/>
                <w:szCs w:val="17"/>
              </w:rPr>
              <w:t xml:space="preserve">CogniteAsset</w:t>
            </w:r>
            <w:r>
              <w:rPr>
                <w:b w:val="false"/>
                <w:bCs w:val="false"/>
                <w:color w:val="2B2B2B"/>
                <w:sz w:val="18"/>
                <w:szCs w:val="18"/>
              </w:rPr>
              <w:t xml:space="preserve"> hierarchy from RAW and links each time series to its asset (contextualisation).</w:t>
            </w:r>
          </w:p>
        </w:tc>
        <w:tc>
          <w:tcPr>
            <w:tcW w:type="dxa" w:w="171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Nightly and via workflow</w:t>
            </w:r>
          </w:p>
        </w:tc>
      </w:tr>
      <w:tr>
        <w:trPr>
          <w:cantSplit/>
        </w:trPr>
        <w:tc>
          <w:tcPr>
            <w:tcW w:type="dxa" w:w="133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Values</w:t>
            </w:r>
          </w:p>
        </w:tc>
        <w:tc>
          <w:tcPr>
            <w:tcW w:type="dxa" w:w="2382"/>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Function </w:t>
            </w:r>
            <w:r>
              <w:rPr>
                <w:rFonts w:ascii="Consolas" w:cs="Consolas" w:eastAsia="Consolas" w:hAnsi="Consolas"/>
                <w:b w:val="false"/>
                <w:bCs w:val="false"/>
                <w:color w:val="2B2B2B"/>
                <w:sz w:val="17"/>
                <w:szCs w:val="17"/>
              </w:rPr>
              <w:t xml:space="preserve">icapi_datapoints_extractor</w:t>
            </w:r>
          </w:p>
        </w:tc>
        <w:tc>
          <w:tcPr>
            <w:tcW w:type="dxa" w:w="4096"/>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Loads datapoints from the API into the measured time series.</w:t>
            </w:r>
          </w:p>
        </w:tc>
        <w:tc>
          <w:tcPr>
            <w:tcW w:type="dxa" w:w="171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Every 10 min, nightly gap fill</w:t>
            </w:r>
          </w:p>
        </w:tc>
      </w:tr>
      <w:tr>
        <w:trPr>
          <w:cantSplit/>
        </w:trPr>
        <w:tc>
          <w:tcPr>
            <w:tcW w:type="dxa" w:w="133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Calculation</w:t>
            </w:r>
          </w:p>
        </w:tc>
        <w:tc>
          <w:tcPr>
            <w:tcW w:type="dxa" w:w="2382"/>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Function </w:t>
            </w:r>
            <w:r>
              <w:rPr>
                <w:rFonts w:ascii="Consolas" w:cs="Consolas" w:eastAsia="Consolas" w:hAnsi="Consolas"/>
                <w:b w:val="false"/>
                <w:bCs w:val="false"/>
                <w:color w:val="2B2B2B"/>
                <w:sz w:val="17"/>
                <w:szCs w:val="17"/>
              </w:rPr>
              <w:t xml:space="preserve">oee_timeseries</w:t>
            </w:r>
          </w:p>
        </w:tc>
        <w:tc>
          <w:tcPr>
            <w:tcW w:type="dxa" w:w="4096"/>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Calculates quality, performance, availability, OEE and off-spec for each production unit.</w:t>
            </w:r>
          </w:p>
        </w:tc>
        <w:tc>
          <w:tcPr>
            <w:tcW w:type="dxa" w:w="171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Every 5 min</w:t>
            </w:r>
          </w:p>
        </w:tc>
      </w:tr>
      <w:tr>
        <w:trPr>
          <w:cantSplit/>
        </w:trPr>
        <w:tc>
          <w:tcPr>
            <w:tcW w:type="dxa" w:w="133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Orchestration</w:t>
            </w:r>
          </w:p>
        </w:tc>
        <w:tc>
          <w:tcPr>
            <w:tcW w:type="dxa" w:w="2382"/>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Data workflow </w:t>
            </w:r>
            <w:r>
              <w:rPr>
                <w:rFonts w:ascii="Consolas" w:cs="Consolas" w:eastAsia="Consolas" w:hAnsi="Consolas"/>
                <w:b w:val="false"/>
                <w:bCs w:val="false"/>
                <w:color w:val="2B2B2B"/>
                <w:sz w:val="17"/>
                <w:szCs w:val="17"/>
              </w:rPr>
              <w:t xml:space="preserve">wf_icapi_data_pipeline</w:t>
            </w:r>
          </w:p>
        </w:tc>
        <w:tc>
          <w:tcPr>
            <w:tcW w:type="dxa" w:w="4096"/>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Runs the four processing steps in dependency order.</w:t>
            </w:r>
          </w:p>
        </w:tc>
        <w:tc>
          <w:tcPr>
            <w:tcW w:type="dxa" w:w="171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Every 15 min</w:t>
            </w:r>
          </w:p>
        </w:tc>
      </w:tr>
      <w:tr>
        <w:trPr>
          <w:cantSplit/>
        </w:trPr>
        <w:tc>
          <w:tcPr>
            <w:tcW w:type="dxa" w:w="133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Monitoring</w:t>
            </w:r>
          </w:p>
        </w:tc>
        <w:tc>
          <w:tcPr>
            <w:tcW w:type="dxa" w:w="2382"/>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Extraction pipeline </w:t>
            </w:r>
            <w:r>
              <w:rPr>
                <w:rFonts w:ascii="Consolas" w:cs="Consolas" w:eastAsia="Consolas" w:hAnsi="Consolas"/>
                <w:b w:val="false"/>
                <w:bCs w:val="false"/>
                <w:color w:val="2B2B2B"/>
                <w:sz w:val="17"/>
                <w:szCs w:val="17"/>
              </w:rPr>
              <w:t xml:space="preserve">ep_icapi_datapoints</w:t>
            </w:r>
          </w:p>
        </w:tc>
        <w:tc>
          <w:tcPr>
            <w:tcW w:type="dxa" w:w="4096"/>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Receives the outcome of every extractor run.</w:t>
            </w:r>
          </w:p>
        </w:tc>
        <w:tc>
          <w:tcPr>
            <w:tcW w:type="dxa" w:w="171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On each run</w:t>
            </w:r>
          </w:p>
        </w:tc>
      </w:tr>
    </w:tbl>
    <w:p>
      <w:pPr>
        <w:spacing w:after="160"/>
      </w:pP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1238"/>
        <w:gridCol w:w="4477"/>
        <w:gridCol w:w="1143"/>
        <w:gridCol w:w="1143"/>
        <w:gridCol w:w="1525"/>
      </w:tblGrid>
      <w:tr>
        <w:trPr>
          <w:tblHeader/>
        </w:trPr>
        <w:tc>
          <w:tcPr>
            <w:tcW w:type="dxa" w:w="1238"/>
            <w:tcBorders>
              <w:top w:val="single" w:color="B8C4D6" w:sz="4"/>
              <w:left w:val="single" w:color="B8C4D6" w:sz="4"/>
              <w:bottom w:val="single" w:color="B8C4D6" w:sz="4"/>
              <w:right w:val="single" w:color="B8C4D6" w:sz="4"/>
            </w:tcBorders>
            <w:shd w:fill="E8EEF5" w:color="auto" w:val="clear"/>
            <w:tcMar>
              <w:top w:type="dxa" w:w="70"/>
              <w:left w:type="dxa" w:w="110"/>
              <w:bottom w:type="dxa" w:w="70"/>
              <w:right w:type="dxa" w:w="110"/>
            </w:tcMar>
            <w:vAlign w:val="center"/>
          </w:tcPr>
          <w:p>
            <w:pPr>
              <w:keepNext/>
              <w:jc w:val="left"/>
            </w:pPr>
            <w:r>
              <w:rPr>
                <w:b/>
                <w:bCs/>
                <w:color w:val="14213D"/>
                <w:sz w:val="18"/>
                <w:szCs w:val="18"/>
              </w:rPr>
              <w:t xml:space="preserve">Bootcamp day</w:t>
            </w:r>
          </w:p>
        </w:tc>
        <w:tc>
          <w:tcPr>
            <w:tcW w:type="dxa" w:w="4477"/>
            <w:tcBorders>
              <w:top w:val="single" w:color="B8C4D6" w:sz="4"/>
              <w:left w:val="single" w:color="B8C4D6" w:sz="4"/>
              <w:bottom w:val="single" w:color="B8C4D6" w:sz="4"/>
              <w:right w:val="single" w:color="B8C4D6" w:sz="4"/>
            </w:tcBorders>
            <w:shd w:fill="E8EEF5" w:color="auto" w:val="clear"/>
            <w:tcMar>
              <w:top w:type="dxa" w:w="70"/>
              <w:left w:type="dxa" w:w="110"/>
              <w:bottom w:type="dxa" w:w="70"/>
              <w:right w:type="dxa" w:w="110"/>
            </w:tcMar>
            <w:vAlign w:val="center"/>
          </w:tcPr>
          <w:p>
            <w:pPr>
              <w:keepNext/>
              <w:jc w:val="left"/>
            </w:pPr>
            <w:r>
              <w:rPr>
                <w:b/>
                <w:bCs/>
                <w:color w:val="14213D"/>
                <w:sz w:val="18"/>
                <w:szCs w:val="18"/>
              </w:rPr>
              <w:t xml:space="preserve">Theme</w:t>
            </w:r>
          </w:p>
        </w:tc>
        <w:tc>
          <w:tcPr>
            <w:tcW w:type="dxa" w:w="1143"/>
            <w:tcBorders>
              <w:top w:val="single" w:color="B8C4D6" w:sz="4"/>
              <w:left w:val="single" w:color="B8C4D6" w:sz="4"/>
              <w:bottom w:val="single" w:color="B8C4D6" w:sz="4"/>
              <w:right w:val="single" w:color="B8C4D6" w:sz="4"/>
            </w:tcBorders>
            <w:shd w:fill="E8EEF5" w:color="auto" w:val="clear"/>
            <w:tcMar>
              <w:top w:type="dxa" w:w="70"/>
              <w:left w:type="dxa" w:w="110"/>
              <w:bottom w:type="dxa" w:w="70"/>
              <w:right w:type="dxa" w:w="110"/>
            </w:tcMar>
            <w:vAlign w:val="center"/>
          </w:tcPr>
          <w:p>
            <w:pPr>
              <w:keepNext/>
              <w:jc w:val="right"/>
            </w:pPr>
            <w:r>
              <w:rPr>
                <w:b/>
                <w:bCs/>
                <w:color w:val="14213D"/>
                <w:sz w:val="18"/>
                <w:szCs w:val="18"/>
              </w:rPr>
              <w:t xml:space="preserve">Resources</w:t>
            </w:r>
          </w:p>
        </w:tc>
        <w:tc>
          <w:tcPr>
            <w:tcW w:type="dxa" w:w="1143"/>
            <w:tcBorders>
              <w:top w:val="single" w:color="B8C4D6" w:sz="4"/>
              <w:left w:val="single" w:color="B8C4D6" w:sz="4"/>
              <w:bottom w:val="single" w:color="B8C4D6" w:sz="4"/>
              <w:right w:val="single" w:color="B8C4D6" w:sz="4"/>
            </w:tcBorders>
            <w:shd w:fill="E8EEF5" w:color="auto" w:val="clear"/>
            <w:tcMar>
              <w:top w:type="dxa" w:w="70"/>
              <w:left w:type="dxa" w:w="110"/>
              <w:bottom w:type="dxa" w:w="70"/>
              <w:right w:type="dxa" w:w="110"/>
            </w:tcMar>
            <w:vAlign w:val="center"/>
          </w:tcPr>
          <w:p>
            <w:pPr>
              <w:keepNext/>
              <w:jc w:val="left"/>
            </w:pPr>
            <w:r>
              <w:rPr>
                <w:b/>
                <w:bCs/>
                <w:color w:val="14213D"/>
                <w:sz w:val="18"/>
                <w:szCs w:val="18"/>
              </w:rPr>
              <w:t xml:space="preserve">Test</w:t>
            </w:r>
          </w:p>
        </w:tc>
        <w:tc>
          <w:tcPr>
            <w:tcW w:type="dxa" w:w="1525"/>
            <w:tcBorders>
              <w:top w:val="single" w:color="B8C4D6" w:sz="4"/>
              <w:left w:val="single" w:color="B8C4D6" w:sz="4"/>
              <w:bottom w:val="single" w:color="B8C4D6" w:sz="4"/>
              <w:right w:val="single" w:color="B8C4D6" w:sz="4"/>
            </w:tcBorders>
            <w:shd w:fill="E8EEF5" w:color="auto" w:val="clear"/>
            <w:tcMar>
              <w:top w:type="dxa" w:w="70"/>
              <w:left w:type="dxa" w:w="110"/>
              <w:bottom w:type="dxa" w:w="70"/>
              <w:right w:type="dxa" w:w="110"/>
            </w:tcMar>
            <w:vAlign w:val="center"/>
          </w:tcPr>
          <w:p>
            <w:pPr>
              <w:keepNext/>
              <w:jc w:val="left"/>
            </w:pPr>
            <w:r>
              <w:rPr>
                <w:b/>
                <w:bCs/>
                <w:color w:val="14213D"/>
                <w:sz w:val="18"/>
                <w:szCs w:val="18"/>
              </w:rPr>
              <w:t xml:space="preserve">Production</w:t>
            </w:r>
          </w:p>
        </w:tc>
      </w:tr>
      <w:tr>
        <w:trPr>
          <w:cantSplit/>
        </w:trPr>
        <w:tc>
          <w:tcPr>
            <w:tcW w:type="dxa" w:w="1238"/>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b w:val="false"/>
                <w:bCs w:val="false"/>
                <w:color w:val="2B2B2B"/>
                <w:sz w:val="18"/>
                <w:szCs w:val="18"/>
              </w:rPr>
              <w:t xml:space="preserve">Day 1</w:t>
            </w:r>
          </w:p>
        </w:tc>
        <w:tc>
          <w:tcPr>
            <w:tcW w:type="dxa" w:w="4477"/>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b w:val="false"/>
                <w:bCs w:val="false"/>
                <w:color w:val="2B2B2B"/>
                <w:sz w:val="18"/>
                <w:szCs w:val="18"/>
              </w:rPr>
              <w:t xml:space="preserve">Data Foundation: access, data sets, RAW, spaces</w:t>
            </w:r>
          </w:p>
        </w:tc>
        <w:tc>
          <w:tcPr>
            <w:tcW w:type="dxa" w:w="1143"/>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right"/>
            </w:pPr>
            <w:r>
              <w:rPr>
                <w:b w:val="false"/>
                <w:bCs w:val="false"/>
                <w:color w:val="2B2B2B"/>
                <w:sz w:val="18"/>
                <w:szCs w:val="18"/>
              </w:rPr>
              <w:t xml:space="preserve">9</w:t>
            </w:r>
          </w:p>
        </w:tc>
        <w:tc>
          <w:tcPr>
            <w:tcW w:type="dxa" w:w="1143"/>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b w:val="false"/>
                <w:bCs w:val="false"/>
                <w:color w:val="1E7B4F"/>
                <w:sz w:val="18"/>
                <w:szCs w:val="18"/>
              </w:rPr>
              <w:t xml:space="preserve">Done</w:t>
            </w:r>
          </w:p>
        </w:tc>
        <w:tc>
          <w:tcPr>
            <w:tcW w:type="dxa" w:w="1525"/>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b w:val="false"/>
                <w:bCs w:val="false"/>
                <w:color w:val="1E7B4F"/>
                <w:sz w:val="18"/>
                <w:szCs w:val="18"/>
              </w:rPr>
              <w:t xml:space="preserve">Done</w:t>
            </w:r>
          </w:p>
        </w:tc>
      </w:tr>
      <w:tr>
        <w:trPr>
          <w:cantSplit/>
        </w:trPr>
        <w:tc>
          <w:tcPr>
            <w:tcW w:type="dxa" w:w="1238"/>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b w:val="false"/>
                <w:bCs w:val="false"/>
                <w:color w:val="2B2B2B"/>
                <w:sz w:val="18"/>
                <w:szCs w:val="18"/>
              </w:rPr>
              <w:t xml:space="preserve">Day 2</w:t>
            </w:r>
          </w:p>
        </w:tc>
        <w:tc>
          <w:tcPr>
            <w:tcW w:type="dxa" w:w="4477"/>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b w:val="false"/>
                <w:bCs w:val="false"/>
                <w:color w:val="2B2B2B"/>
                <w:sz w:val="18"/>
                <w:szCs w:val="18"/>
              </w:rPr>
              <w:t xml:space="preserve">Data Integration A and Data Modeling: extractors, transformations</w:t>
            </w:r>
          </w:p>
        </w:tc>
        <w:tc>
          <w:tcPr>
            <w:tcW w:type="dxa" w:w="1143"/>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right"/>
            </w:pPr>
            <w:r>
              <w:rPr>
                <w:b w:val="false"/>
                <w:bCs w:val="false"/>
                <w:color w:val="2B2B2B"/>
                <w:sz w:val="18"/>
                <w:szCs w:val="18"/>
              </w:rPr>
              <w:t xml:space="preserve">10</w:t>
            </w:r>
          </w:p>
        </w:tc>
        <w:tc>
          <w:tcPr>
            <w:tcW w:type="dxa" w:w="1143"/>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b w:val="false"/>
                <w:bCs w:val="false"/>
                <w:color w:val="1E7B4F"/>
                <w:sz w:val="18"/>
                <w:szCs w:val="18"/>
              </w:rPr>
              <w:t xml:space="preserve">Done</w:t>
            </w:r>
          </w:p>
        </w:tc>
        <w:tc>
          <w:tcPr>
            <w:tcW w:type="dxa" w:w="1525"/>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b w:val="false"/>
                <w:bCs w:val="false"/>
                <w:color w:val="1E7B4F"/>
                <w:sz w:val="18"/>
                <w:szCs w:val="18"/>
              </w:rPr>
              <w:t xml:space="preserve">Done</w:t>
            </w:r>
          </w:p>
        </w:tc>
      </w:tr>
      <w:tr>
        <w:trPr>
          <w:cantSplit/>
        </w:trPr>
        <w:tc>
          <w:tcPr>
            <w:tcW w:type="dxa" w:w="1238"/>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b w:val="false"/>
                <w:bCs w:val="false"/>
                <w:color w:val="2B2B2B"/>
                <w:sz w:val="18"/>
                <w:szCs w:val="18"/>
              </w:rPr>
              <w:t xml:space="preserve">Day 3</w:t>
            </w:r>
          </w:p>
        </w:tc>
        <w:tc>
          <w:tcPr>
            <w:tcW w:type="dxa" w:w="4477"/>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b w:val="false"/>
                <w:bCs w:val="false"/>
                <w:color w:val="2B2B2B"/>
                <w:sz w:val="18"/>
                <w:szCs w:val="18"/>
              </w:rPr>
              <w:t xml:space="preserve">Data Integration B and Orchestration: functions, workflow</w:t>
            </w:r>
          </w:p>
        </w:tc>
        <w:tc>
          <w:tcPr>
            <w:tcW w:type="dxa" w:w="1143"/>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right"/>
            </w:pPr>
            <w:r>
              <w:rPr>
                <w:b w:val="false"/>
                <w:bCs w:val="false"/>
                <w:color w:val="2B2B2B"/>
                <w:sz w:val="18"/>
                <w:szCs w:val="18"/>
              </w:rPr>
              <w:t xml:space="preserve">9</w:t>
            </w:r>
          </w:p>
        </w:tc>
        <w:tc>
          <w:tcPr>
            <w:tcW w:type="dxa" w:w="1143"/>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b w:val="false"/>
                <w:bCs w:val="false"/>
                <w:color w:val="1E7B4F"/>
                <w:sz w:val="18"/>
                <w:szCs w:val="18"/>
              </w:rPr>
              <w:t xml:space="preserve">Done</w:t>
            </w:r>
          </w:p>
        </w:tc>
        <w:tc>
          <w:tcPr>
            <w:tcW w:type="dxa" w:w="1525"/>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b w:val="false"/>
                <w:bCs w:val="false"/>
                <w:color w:val="1E7B4F"/>
                <w:sz w:val="18"/>
                <w:szCs w:val="18"/>
              </w:rPr>
              <w:t xml:space="preserve">Done</w:t>
            </w:r>
          </w:p>
        </w:tc>
      </w:tr>
      <w:tr>
        <w:trPr>
          <w:cantSplit/>
        </w:trPr>
        <w:tc>
          <w:tcPr>
            <w:tcW w:type="dxa" w:w="1238"/>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Day 4</w:t>
            </w:r>
          </w:p>
        </w:tc>
        <w:tc>
          <w:tcPr>
            <w:tcW w:type="dxa" w:w="4477"/>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Charts and Canvas (performed in the production project)</w:t>
            </w:r>
          </w:p>
        </w:tc>
        <w:tc>
          <w:tcPr>
            <w:tcW w:type="dxa" w:w="1143"/>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right"/>
            </w:pPr>
            <w:r>
              <w:rPr>
                <w:b w:val="false"/>
                <w:bCs w:val="false"/>
                <w:color w:val="2B2B2B"/>
                <w:sz w:val="18"/>
                <w:szCs w:val="18"/>
              </w:rPr>
              <w:t xml:space="preserve">n/a</w:t>
            </w:r>
          </w:p>
        </w:tc>
        <w:tc>
          <w:tcPr>
            <w:tcW w:type="dxa" w:w="1143"/>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n/a</w:t>
            </w:r>
          </w:p>
        </w:tc>
        <w:tc>
          <w:tcPr>
            <w:tcW w:type="dxa" w:w="1525"/>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1E7B4F"/>
                <w:sz w:val="18"/>
                <w:szCs w:val="18"/>
              </w:rPr>
              <w:t xml:space="preserve">Done</w:t>
            </w:r>
          </w:p>
        </w:tc>
      </w:tr>
    </w:tbl>
    <w:p>
      <w:pPr>
        <w:pStyle w:val="Heading1"/>
      </w:pPr>
      <w:r>
        <w:t xml:space="preserve">4. Data</w:t>
      </w:r>
    </w:p>
    <w:p>
      <w:pPr>
        <w:pStyle w:val="Heading2"/>
      </w:pPr>
      <w:r>
        <w:t xml:space="preserve">4.1 Source and model</w:t>
      </w:r>
    </w:p>
    <w:p>
      <w:pPr>
        <w:spacing w:after="120" w:line="288"/>
      </w:pPr>
      <w:r>
        <w:t xml:space="preserve">The single data source is the Ice Cream Factory REST API. It exposes the asset list as a CSV file, the list of time series, and their datapoints. Assets follow the ISA-95 naming standard and are organised by site, area and production unit.</w:t>
      </w:r>
    </w:p>
    <w:p>
      <w:pPr>
        <w:spacing w:after="120" w:line="288"/>
      </w:pPr>
      <w:r>
        <w:t xml:space="preserve">The plant has ten sites, each with four areas: receiving and raw material, production, cold store, product. Sites come in three sizes, with one, two or three production branches of seven lines each, which explains the three asset counts of section 4.2. Each of the 628 production units carries four series: </w:t>
      </w:r>
      <w:r>
        <w:rPr>
          <w:rFonts w:ascii="Consolas" w:cs="Consolas" w:eastAsia="Consolas" w:hAnsi="Consolas"/>
          <w:sz w:val="20"/>
          <w:szCs w:val="20"/>
        </w:rPr>
        <w:t xml:space="preserve">count</w:t>
      </w:r>
      <w:r>
        <w:t xml:space="preserve"> (items produced), </w:t>
      </w:r>
      <w:r>
        <w:rPr>
          <w:rFonts w:ascii="Consolas" w:cs="Consolas" w:eastAsia="Consolas" w:hAnsi="Consolas"/>
          <w:sz w:val="20"/>
          <w:szCs w:val="20"/>
        </w:rPr>
        <w:t xml:space="preserve">good</w:t>
      </w:r>
      <w:r>
        <w:t xml:space="preserve"> (conforming items), </w:t>
      </w:r>
      <w:r>
        <w:rPr>
          <w:rFonts w:ascii="Consolas" w:cs="Consolas" w:eastAsia="Consolas" w:hAnsi="Consolas"/>
          <w:sz w:val="20"/>
          <w:szCs w:val="20"/>
        </w:rPr>
        <w:t xml:space="preserve">status</w:t>
      </w:r>
      <w:r>
        <w:t xml:space="preserve"> (the machine is running) and </w:t>
      </w:r>
      <w:r>
        <w:rPr>
          <w:rFonts w:ascii="Consolas" w:cs="Consolas" w:eastAsia="Consolas" w:hAnsi="Consolas"/>
          <w:sz w:val="20"/>
          <w:szCs w:val="20"/>
        </w:rPr>
        <w:t xml:space="preserve">planned_status</w:t>
      </w:r>
      <w:r>
        <w:t xml:space="preserve"> (it was meant to run).</w:t>
      </w:r>
    </w:p>
    <w:p>
      <w:pPr>
        <w:spacing w:after="120" w:line="288"/>
      </w:pPr>
      <w:r>
        <w:t xml:space="preserve">Data is stored in the Cognite Core Data Model: assets as </w:t>
      </w:r>
      <w:r>
        <w:rPr>
          <w:rFonts w:ascii="Consolas" w:cs="Consolas" w:eastAsia="Consolas" w:hAnsi="Consolas"/>
          <w:sz w:val="20"/>
          <w:szCs w:val="20"/>
        </w:rPr>
        <w:t xml:space="preserve">CogniteAsset</w:t>
      </w:r>
      <w:r>
        <w:t xml:space="preserve"> and time series as </w:t>
      </w:r>
      <w:r>
        <w:rPr>
          <w:rFonts w:ascii="Consolas" w:cs="Consolas" w:eastAsia="Consolas" w:hAnsi="Consolas"/>
          <w:sz w:val="20"/>
          <w:szCs w:val="20"/>
        </w:rPr>
        <w:t xml:space="preserve">CogniteTimeSeries</w:t>
      </w:r>
      <w:r>
        <w:t xml:space="preserve">, in the space </w:t>
      </w:r>
      <w:r>
        <w:rPr>
          <w:rFonts w:ascii="Consolas" w:cs="Consolas" w:eastAsia="Consolas" w:hAnsi="Consolas"/>
          <w:sz w:val="20"/>
          <w:szCs w:val="20"/>
        </w:rPr>
        <w:t xml:space="preserve">icapi_dm_space</w:t>
      </w:r>
      <w:r>
        <w:t xml:space="preserve"> for source data and </w:t>
      </w:r>
      <w:r>
        <w:rPr>
          <w:rFonts w:ascii="Consolas" w:cs="Consolas" w:eastAsia="Consolas" w:hAnsi="Consolas"/>
          <w:sz w:val="20"/>
          <w:szCs w:val="20"/>
        </w:rPr>
        <w:t xml:space="preserve">oee_ts_space</w:t>
      </w:r>
      <w:r>
        <w:t xml:space="preserve"> for calculated data. Two data sets separate governance: </w:t>
      </w:r>
      <w:r>
        <w:rPr>
          <w:rFonts w:ascii="Consolas" w:cs="Consolas" w:eastAsia="Consolas" w:hAnsi="Consolas"/>
          <w:sz w:val="20"/>
          <w:szCs w:val="20"/>
        </w:rPr>
        <w:t xml:space="preserve">ds_icapi</w:t>
      </w:r>
      <w:r>
        <w:t xml:space="preserve"> for source data and </w:t>
      </w:r>
      <w:r>
        <w:rPr>
          <w:rFonts w:ascii="Consolas" w:cs="Consolas" w:eastAsia="Consolas" w:hAnsi="Consolas"/>
          <w:sz w:val="20"/>
          <w:szCs w:val="20"/>
        </w:rPr>
        <w:t xml:space="preserve">ds_uc_oee</w:t>
      </w:r>
      <w:r>
        <w:t xml:space="preserve"> for the OEE use case.</w:t>
      </w:r>
    </w:p>
    <w:p>
      <w:pPr>
        <w:spacing w:after="120" w:line="288"/>
      </w:pPr>
      <w:r>
        <w:t xml:space="preserve">In data modeling terms, each asset and each time series is an instance (a node) living in one of our spaces. </w:t>
      </w:r>
      <w:r>
        <w:rPr>
          <w:rFonts w:ascii="Consolas" w:cs="Consolas" w:eastAsia="Consolas" w:hAnsi="Consolas"/>
          <w:sz w:val="20"/>
          <w:szCs w:val="20"/>
        </w:rPr>
        <w:t xml:space="preserve">CogniteAsset</w:t>
      </w:r>
      <w:r>
        <w:t xml:space="preserve"> and </w:t>
      </w:r>
      <w:r>
        <w:rPr>
          <w:rFonts w:ascii="Consolas" w:cs="Consolas" w:eastAsia="Consolas" w:hAnsi="Consolas"/>
          <w:sz w:val="20"/>
          <w:szCs w:val="20"/>
        </w:rPr>
        <w:t xml:space="preserve">CogniteTimeSeries</w:t>
      </w:r>
      <w:r>
        <w:t xml:space="preserve"> are views of the Core Data Model: they expose properties that are physically stored in containers. The link from an asset to its parent, and from a time series to its asset, is a direct relation written by the two transformations; the reverse links (</w:t>
      </w:r>
      <w:r>
        <w:rPr>
          <w:rFonts w:ascii="Consolas" w:cs="Consolas" w:eastAsia="Consolas" w:hAnsi="Consolas"/>
          <w:sz w:val="20"/>
          <w:szCs w:val="20"/>
        </w:rPr>
        <w:t xml:space="preserve">children</w:t>
      </w:r>
      <w:r>
        <w:t xml:space="preserve">, </w:t>
      </w:r>
      <w:r>
        <w:rPr>
          <w:rFonts w:ascii="Consolas" w:cs="Consolas" w:eastAsia="Consolas" w:hAnsi="Consolas"/>
          <w:sz w:val="20"/>
          <w:szCs w:val="20"/>
        </w:rPr>
        <w:t xml:space="preserve">timeSeries</w:t>
      </w:r>
      <w:r>
        <w:t xml:space="preserve">) and the </w:t>
      </w:r>
      <w:r>
        <w:rPr>
          <w:rFonts w:ascii="Consolas" w:cs="Consolas" w:eastAsia="Consolas" w:hAnsi="Consolas"/>
          <w:sz w:val="20"/>
          <w:szCs w:val="20"/>
        </w:rPr>
        <w:t xml:space="preserve">path</w:t>
      </w:r>
      <w:r>
        <w:t xml:space="preserve"> are maintained by the platform.</w:t>
      </w:r>
    </w:p>
    <w:p>
      <w:pPr>
        <w:pStyle w:val="Heading2"/>
      </w:pPr>
      <w:r>
        <w:t xml:space="preserve">4.2 Volumes</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4191"/>
        <w:gridCol w:w="1334"/>
        <w:gridCol w:w="4001"/>
      </w:tblGrid>
      <w:tr>
        <w:trPr>
          <w:tblHeader/>
        </w:trPr>
        <w:tc>
          <w:tcPr>
            <w:tcW w:type="dxa" w:w="4191"/>
            <w:tcBorders>
              <w:top w:val="single" w:color="B8C4D6" w:sz="4"/>
              <w:left w:val="single" w:color="B8C4D6" w:sz="4"/>
              <w:bottom w:val="single" w:color="B8C4D6" w:sz="4"/>
              <w:right w:val="single" w:color="B8C4D6" w:sz="4"/>
            </w:tcBorders>
            <w:shd w:fill="E8EEF5" w:color="auto" w:val="clear"/>
            <w:tcMar>
              <w:top w:type="dxa" w:w="70"/>
              <w:left w:type="dxa" w:w="110"/>
              <w:bottom w:type="dxa" w:w="70"/>
              <w:right w:type="dxa" w:w="110"/>
            </w:tcMar>
            <w:vAlign w:val="center"/>
          </w:tcPr>
          <w:p>
            <w:pPr>
              <w:keepNext/>
              <w:jc w:val="left"/>
            </w:pPr>
            <w:r>
              <w:rPr>
                <w:b/>
                <w:bCs/>
                <w:color w:val="14213D"/>
                <w:sz w:val="18"/>
                <w:szCs w:val="18"/>
              </w:rPr>
              <w:t xml:space="preserve">Object</w:t>
            </w:r>
          </w:p>
        </w:tc>
        <w:tc>
          <w:tcPr>
            <w:tcW w:type="dxa" w:w="1334"/>
            <w:tcBorders>
              <w:top w:val="single" w:color="B8C4D6" w:sz="4"/>
              <w:left w:val="single" w:color="B8C4D6" w:sz="4"/>
              <w:bottom w:val="single" w:color="B8C4D6" w:sz="4"/>
              <w:right w:val="single" w:color="B8C4D6" w:sz="4"/>
            </w:tcBorders>
            <w:shd w:fill="E8EEF5" w:color="auto" w:val="clear"/>
            <w:tcMar>
              <w:top w:type="dxa" w:w="70"/>
              <w:left w:type="dxa" w:w="110"/>
              <w:bottom w:type="dxa" w:w="70"/>
              <w:right w:type="dxa" w:w="110"/>
            </w:tcMar>
            <w:vAlign w:val="center"/>
          </w:tcPr>
          <w:p>
            <w:pPr>
              <w:keepNext/>
              <w:jc w:val="right"/>
            </w:pPr>
            <w:r>
              <w:rPr>
                <w:b/>
                <w:bCs/>
                <w:color w:val="14213D"/>
                <w:sz w:val="18"/>
                <w:szCs w:val="18"/>
              </w:rPr>
              <w:t xml:space="preserve">Count</w:t>
            </w:r>
          </w:p>
        </w:tc>
        <w:tc>
          <w:tcPr>
            <w:tcW w:type="dxa" w:w="4001"/>
            <w:tcBorders>
              <w:top w:val="single" w:color="B8C4D6" w:sz="4"/>
              <w:left w:val="single" w:color="B8C4D6" w:sz="4"/>
              <w:bottom w:val="single" w:color="B8C4D6" w:sz="4"/>
              <w:right w:val="single" w:color="B8C4D6" w:sz="4"/>
            </w:tcBorders>
            <w:shd w:fill="E8EEF5" w:color="auto" w:val="clear"/>
            <w:tcMar>
              <w:top w:type="dxa" w:w="70"/>
              <w:left w:type="dxa" w:w="110"/>
              <w:bottom w:type="dxa" w:w="70"/>
              <w:right w:type="dxa" w:w="110"/>
            </w:tcMar>
            <w:vAlign w:val="center"/>
          </w:tcPr>
          <w:p>
            <w:pPr>
              <w:keepNext/>
              <w:jc w:val="left"/>
            </w:pPr>
            <w:r>
              <w:rPr>
                <w:b/>
                <w:bCs/>
                <w:color w:val="14213D"/>
                <w:sz w:val="18"/>
                <w:szCs w:val="18"/>
              </w:rPr>
              <w:t xml:space="preserve">Notes</w:t>
            </w:r>
          </w:p>
        </w:tc>
      </w:tr>
      <w:tr>
        <w:trPr>
          <w:cantSplit/>
        </w:trPr>
        <w:tc>
          <w:tcPr>
            <w:tcW w:type="dxa" w:w="4191"/>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b w:val="false"/>
                <w:bCs w:val="false"/>
                <w:color w:val="2B2B2B"/>
                <w:sz w:val="18"/>
                <w:szCs w:val="18"/>
              </w:rPr>
              <w:t xml:space="preserve">Rows in the RAW table </w:t>
            </w:r>
            <w:r>
              <w:rPr>
                <w:rFonts w:ascii="Consolas" w:cs="Consolas" w:eastAsia="Consolas" w:hAnsi="Consolas"/>
                <w:b w:val="false"/>
                <w:bCs w:val="false"/>
                <w:color w:val="2B2B2B"/>
                <w:sz w:val="17"/>
                <w:szCs w:val="17"/>
              </w:rPr>
              <w:t xml:space="preserve">ice-cream-factory-db.assets</w:t>
            </w:r>
          </w:p>
        </w:tc>
        <w:tc>
          <w:tcPr>
            <w:tcW w:type="dxa" w:w="133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right"/>
            </w:pPr>
            <w:r>
              <w:rPr>
                <w:b w:val="false"/>
                <w:bCs w:val="false"/>
                <w:color w:val="2B2B2B"/>
                <w:sz w:val="18"/>
                <w:szCs w:val="18"/>
              </w:rPr>
              <w:t xml:space="preserve">1,021</w:t>
            </w:r>
          </w:p>
        </w:tc>
        <w:tc>
          <w:tcPr>
            <w:tcW w:type="dxa" w:w="4001"/>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b w:val="false"/>
                <w:bCs w:val="false"/>
                <w:color w:val="2B2B2B"/>
                <w:sz w:val="18"/>
                <w:szCs w:val="18"/>
              </w:rPr>
              <w:t xml:space="preserve">One row per asset, keyed by its external ID</w:t>
            </w:r>
          </w:p>
        </w:tc>
      </w:tr>
      <w:tr>
        <w:trPr>
          <w:cantSplit/>
        </w:trPr>
        <w:tc>
          <w:tcPr>
            <w:tcW w:type="dxa" w:w="4191"/>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b w:val="false"/>
                <w:bCs w:val="false"/>
                <w:color w:val="2B2B2B"/>
                <w:sz w:val="18"/>
                <w:szCs w:val="18"/>
              </w:rPr>
              <w:t xml:space="preserve">Assets (</w:t>
            </w:r>
            <w:r>
              <w:rPr>
                <w:rFonts w:ascii="Consolas" w:cs="Consolas" w:eastAsia="Consolas" w:hAnsi="Consolas"/>
                <w:b w:val="false"/>
                <w:bCs w:val="false"/>
                <w:color w:val="2B2B2B"/>
                <w:sz w:val="17"/>
                <w:szCs w:val="17"/>
              </w:rPr>
              <w:t xml:space="preserve">CogniteAsset</w:t>
            </w:r>
            <w:r>
              <w:rPr>
                <w:b w:val="false"/>
                <w:bCs w:val="false"/>
                <w:color w:val="2B2B2B"/>
                <w:sz w:val="18"/>
                <w:szCs w:val="18"/>
              </w:rPr>
              <w:t xml:space="preserve">)</w:t>
            </w:r>
          </w:p>
        </w:tc>
        <w:tc>
          <w:tcPr>
            <w:tcW w:type="dxa" w:w="133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right"/>
            </w:pPr>
            <w:r>
              <w:rPr>
                <w:b w:val="false"/>
                <w:bCs w:val="false"/>
                <w:color w:val="2B2B2B"/>
                <w:sz w:val="18"/>
                <w:szCs w:val="18"/>
              </w:rPr>
              <w:t xml:space="preserve">1,021</w:t>
            </w:r>
          </w:p>
        </w:tc>
        <w:tc>
          <w:tcPr>
            <w:tcW w:type="dxa" w:w="4001"/>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b w:val="false"/>
                <w:bCs w:val="false"/>
                <w:color w:val="2B2B2B"/>
                <w:sz w:val="18"/>
                <w:szCs w:val="18"/>
              </w:rPr>
              <w:t xml:space="preserve">Five levels: 10 sites, 40, 173, 608 and 190 assets</w:t>
            </w:r>
          </w:p>
        </w:tc>
      </w:tr>
      <w:tr>
        <w:trPr>
          <w:cantSplit/>
        </w:trPr>
        <w:tc>
          <w:tcPr>
            <w:tcW w:type="dxa" w:w="4191"/>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b w:val="false"/>
                <w:bCs w:val="false"/>
                <w:color w:val="2B2B2B"/>
                <w:sz w:val="18"/>
                <w:szCs w:val="18"/>
              </w:rPr>
              <w:t xml:space="preserve">Production units carrying time series</w:t>
            </w:r>
          </w:p>
        </w:tc>
        <w:tc>
          <w:tcPr>
            <w:tcW w:type="dxa" w:w="133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right"/>
            </w:pPr>
            <w:r>
              <w:rPr>
                <w:b w:val="false"/>
                <w:bCs w:val="false"/>
                <w:color w:val="2B2B2B"/>
                <w:sz w:val="18"/>
                <w:szCs w:val="18"/>
              </w:rPr>
              <w:t xml:space="preserve">628</w:t>
            </w:r>
          </w:p>
        </w:tc>
        <w:tc>
          <w:tcPr>
            <w:tcW w:type="dxa" w:w="4001"/>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b w:val="false"/>
                <w:bCs w:val="false"/>
                <w:color w:val="2B2B2B"/>
                <w:sz w:val="18"/>
                <w:szCs w:val="18"/>
              </w:rPr>
              <w:t xml:space="preserve">Each unit has four measured series</w:t>
            </w:r>
          </w:p>
        </w:tc>
      </w:tr>
      <w:tr>
        <w:trPr>
          <w:cantSplit/>
        </w:trPr>
        <w:tc>
          <w:tcPr>
            <w:tcW w:type="dxa" w:w="4191"/>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b w:val="false"/>
                <w:bCs w:val="false"/>
                <w:color w:val="2B2B2B"/>
                <w:sz w:val="18"/>
                <w:szCs w:val="18"/>
              </w:rPr>
              <w:t xml:space="preserve">Measured time series</w:t>
            </w:r>
          </w:p>
        </w:tc>
        <w:tc>
          <w:tcPr>
            <w:tcW w:type="dxa" w:w="133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right"/>
            </w:pPr>
            <w:r>
              <w:rPr>
                <w:b w:val="false"/>
                <w:bCs w:val="false"/>
                <w:color w:val="2B2B2B"/>
                <w:sz w:val="18"/>
                <w:szCs w:val="18"/>
              </w:rPr>
              <w:t xml:space="preserve">2,512</w:t>
            </w:r>
          </w:p>
        </w:tc>
        <w:tc>
          <w:tcPr>
            <w:tcW w:type="dxa" w:w="4001"/>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rFonts w:ascii="Consolas" w:cs="Consolas" w:eastAsia="Consolas" w:hAnsi="Consolas"/>
                <w:b w:val="false"/>
                <w:bCs w:val="false"/>
                <w:color w:val="2B2B2B"/>
                <w:sz w:val="17"/>
                <w:szCs w:val="17"/>
              </w:rPr>
              <w:t xml:space="preserve">count</w:t>
            </w:r>
            <w:r>
              <w:rPr>
                <w:b w:val="false"/>
                <w:bCs w:val="false"/>
                <w:color w:val="2B2B2B"/>
                <w:sz w:val="18"/>
                <w:szCs w:val="18"/>
              </w:rPr>
              <w:t xml:space="preserve">, </w:t>
            </w:r>
            <w:r>
              <w:rPr>
                <w:rFonts w:ascii="Consolas" w:cs="Consolas" w:eastAsia="Consolas" w:hAnsi="Consolas"/>
                <w:b w:val="false"/>
                <w:bCs w:val="false"/>
                <w:color w:val="2B2B2B"/>
                <w:sz w:val="17"/>
                <w:szCs w:val="17"/>
              </w:rPr>
              <w:t xml:space="preserve">good</w:t>
            </w:r>
            <w:r>
              <w:rPr>
                <w:b w:val="false"/>
                <w:bCs w:val="false"/>
                <w:color w:val="2B2B2B"/>
                <w:sz w:val="18"/>
                <w:szCs w:val="18"/>
              </w:rPr>
              <w:t xml:space="preserve">, </w:t>
            </w:r>
            <w:r>
              <w:rPr>
                <w:rFonts w:ascii="Consolas" w:cs="Consolas" w:eastAsia="Consolas" w:hAnsi="Consolas"/>
                <w:b w:val="false"/>
                <w:bCs w:val="false"/>
                <w:color w:val="2B2B2B"/>
                <w:sz w:val="17"/>
                <w:szCs w:val="17"/>
              </w:rPr>
              <w:t xml:space="preserve">status</w:t>
            </w:r>
            <w:r>
              <w:rPr>
                <w:b w:val="false"/>
                <w:bCs w:val="false"/>
                <w:color w:val="2B2B2B"/>
                <w:sz w:val="18"/>
                <w:szCs w:val="18"/>
              </w:rPr>
              <w:t xml:space="preserve">, </w:t>
            </w:r>
            <w:r>
              <w:rPr>
                <w:rFonts w:ascii="Consolas" w:cs="Consolas" w:eastAsia="Consolas" w:hAnsi="Consolas"/>
                <w:b w:val="false"/>
                <w:bCs w:val="false"/>
                <w:color w:val="2B2B2B"/>
                <w:sz w:val="17"/>
                <w:szCs w:val="17"/>
              </w:rPr>
              <w:t xml:space="preserve">planned_status</w:t>
            </w:r>
          </w:p>
        </w:tc>
      </w:tr>
      <w:tr>
        <w:trPr>
          <w:cantSplit/>
        </w:trPr>
        <w:tc>
          <w:tcPr>
            <w:tcW w:type="dxa" w:w="4191"/>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b w:val="false"/>
                <w:bCs w:val="false"/>
                <w:color w:val="2B2B2B"/>
                <w:sz w:val="18"/>
                <w:szCs w:val="18"/>
              </w:rPr>
              <w:t xml:space="preserve">Calculated time series</w:t>
            </w:r>
          </w:p>
        </w:tc>
        <w:tc>
          <w:tcPr>
            <w:tcW w:type="dxa" w:w="133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right"/>
            </w:pPr>
            <w:r>
              <w:rPr>
                <w:b w:val="false"/>
                <w:bCs w:val="false"/>
                <w:color w:val="2B2B2B"/>
                <w:sz w:val="18"/>
                <w:szCs w:val="18"/>
              </w:rPr>
              <w:t xml:space="preserve">3,140</w:t>
            </w:r>
          </w:p>
        </w:tc>
        <w:tc>
          <w:tcPr>
            <w:tcW w:type="dxa" w:w="4001"/>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rFonts w:ascii="Consolas" w:cs="Consolas" w:eastAsia="Consolas" w:hAnsi="Consolas"/>
                <w:b w:val="false"/>
                <w:bCs w:val="false"/>
                <w:color w:val="2B2B2B"/>
                <w:sz w:val="17"/>
                <w:szCs w:val="17"/>
              </w:rPr>
              <w:t xml:space="preserve">quality</w:t>
            </w:r>
            <w:r>
              <w:rPr>
                <w:b w:val="false"/>
                <w:bCs w:val="false"/>
                <w:color w:val="2B2B2B"/>
                <w:sz w:val="18"/>
                <w:szCs w:val="18"/>
              </w:rPr>
              <w:t xml:space="preserve">, </w:t>
            </w:r>
            <w:r>
              <w:rPr>
                <w:rFonts w:ascii="Consolas" w:cs="Consolas" w:eastAsia="Consolas" w:hAnsi="Consolas"/>
                <w:b w:val="false"/>
                <w:bCs w:val="false"/>
                <w:color w:val="2B2B2B"/>
                <w:sz w:val="17"/>
                <w:szCs w:val="17"/>
              </w:rPr>
              <w:t xml:space="preserve">performance</w:t>
            </w:r>
            <w:r>
              <w:rPr>
                <w:b w:val="false"/>
                <w:bCs w:val="false"/>
                <w:color w:val="2B2B2B"/>
                <w:sz w:val="18"/>
                <w:szCs w:val="18"/>
              </w:rPr>
              <w:t xml:space="preserve">, </w:t>
            </w:r>
            <w:r>
              <w:rPr>
                <w:rFonts w:ascii="Consolas" w:cs="Consolas" w:eastAsia="Consolas" w:hAnsi="Consolas"/>
                <w:b w:val="false"/>
                <w:bCs w:val="false"/>
                <w:color w:val="2B2B2B"/>
                <w:sz w:val="17"/>
                <w:szCs w:val="17"/>
              </w:rPr>
              <w:t xml:space="preserve">availability</w:t>
            </w:r>
            <w:r>
              <w:rPr>
                <w:b w:val="false"/>
                <w:bCs w:val="false"/>
                <w:color w:val="2B2B2B"/>
                <w:sz w:val="18"/>
                <w:szCs w:val="18"/>
              </w:rPr>
              <w:t xml:space="preserve">, </w:t>
            </w:r>
            <w:r>
              <w:rPr>
                <w:rFonts w:ascii="Consolas" w:cs="Consolas" w:eastAsia="Consolas" w:hAnsi="Consolas"/>
                <w:b w:val="false"/>
                <w:bCs w:val="false"/>
                <w:color w:val="2B2B2B"/>
                <w:sz w:val="17"/>
                <w:szCs w:val="17"/>
              </w:rPr>
              <w:t xml:space="preserve">oee</w:t>
            </w:r>
            <w:r>
              <w:rPr>
                <w:b w:val="false"/>
                <w:bCs w:val="false"/>
                <w:color w:val="2B2B2B"/>
                <w:sz w:val="18"/>
                <w:szCs w:val="18"/>
              </w:rPr>
              <w:t xml:space="preserve">, </w:t>
            </w:r>
            <w:r>
              <w:rPr>
                <w:rFonts w:ascii="Consolas" w:cs="Consolas" w:eastAsia="Consolas" w:hAnsi="Consolas"/>
                <w:b w:val="false"/>
                <w:bCs w:val="false"/>
                <w:color w:val="2B2B2B"/>
                <w:sz w:val="17"/>
                <w:szCs w:val="17"/>
              </w:rPr>
              <w:t xml:space="preserve">off_spec</w:t>
            </w:r>
          </w:p>
        </w:tc>
      </w:tr>
      <w:tr>
        <w:trPr>
          <w:cantSplit/>
        </w:trPr>
        <w:tc>
          <w:tcPr>
            <w:tcW w:type="dxa" w:w="4191"/>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History loaded</w:t>
            </w:r>
          </w:p>
        </w:tc>
        <w:tc>
          <w:tcPr>
            <w:tcW w:type="dxa" w:w="133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right"/>
            </w:pPr>
            <w:r>
              <w:rPr>
                <w:b w:val="false"/>
                <w:bCs w:val="false"/>
                <w:color w:val="2B2B2B"/>
                <w:sz w:val="18"/>
                <w:szCs w:val="18"/>
              </w:rPr>
              <w:t xml:space="preserve">14 days</w:t>
            </w:r>
          </w:p>
        </w:tc>
        <w:tc>
          <w:tcPr>
            <w:tcW w:type="dxa" w:w="4001"/>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About 20,160 points per counter series (one per minute)</w:t>
            </w:r>
          </w:p>
        </w:tc>
      </w:tr>
    </w:tbl>
    <w:p>
      <w:pPr>
        <w:spacing w:after="160"/>
      </w:pP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2096"/>
        <w:gridCol w:w="1334"/>
        <w:gridCol w:w="1334"/>
        <w:gridCol w:w="1715"/>
        <w:gridCol w:w="1524"/>
        <w:gridCol w:w="1523"/>
      </w:tblGrid>
      <w:tr>
        <w:trPr>
          <w:tblHeader/>
        </w:trPr>
        <w:tc>
          <w:tcPr>
            <w:tcW w:type="dxa" w:w="2096"/>
            <w:tcBorders>
              <w:top w:val="single" w:color="B8C4D6" w:sz="4"/>
              <w:left w:val="single" w:color="B8C4D6" w:sz="4"/>
              <w:bottom w:val="single" w:color="B8C4D6" w:sz="4"/>
              <w:right w:val="single" w:color="B8C4D6" w:sz="4"/>
            </w:tcBorders>
            <w:shd w:fill="E8EEF5" w:color="auto" w:val="clear"/>
            <w:tcMar>
              <w:top w:type="dxa" w:w="70"/>
              <w:left w:type="dxa" w:w="110"/>
              <w:bottom w:type="dxa" w:w="70"/>
              <w:right w:type="dxa" w:w="110"/>
            </w:tcMar>
            <w:vAlign w:val="center"/>
          </w:tcPr>
          <w:p>
            <w:pPr>
              <w:keepNext w:val="false"/>
              <w:jc w:val="left"/>
            </w:pPr>
            <w:r>
              <w:rPr>
                <w:b/>
                <w:bCs/>
                <w:color w:val="14213D"/>
                <w:sz w:val="18"/>
                <w:szCs w:val="18"/>
              </w:rPr>
              <w:t xml:space="preserve">Site</w:t>
            </w:r>
          </w:p>
        </w:tc>
        <w:tc>
          <w:tcPr>
            <w:tcW w:type="dxa" w:w="1334"/>
            <w:tcBorders>
              <w:top w:val="single" w:color="B8C4D6" w:sz="4"/>
              <w:left w:val="single" w:color="B8C4D6" w:sz="4"/>
              <w:bottom w:val="single" w:color="B8C4D6" w:sz="4"/>
              <w:right w:val="single" w:color="B8C4D6" w:sz="4"/>
            </w:tcBorders>
            <w:shd w:fill="E8EEF5" w:color="auto" w:val="clear"/>
            <w:tcMar>
              <w:top w:type="dxa" w:w="70"/>
              <w:left w:type="dxa" w:w="110"/>
              <w:bottom w:type="dxa" w:w="70"/>
              <w:right w:type="dxa" w:w="110"/>
            </w:tcMar>
            <w:vAlign w:val="center"/>
          </w:tcPr>
          <w:p>
            <w:pPr>
              <w:keepNext w:val="false"/>
              <w:jc w:val="left"/>
            </w:pPr>
            <w:r>
              <w:rPr>
                <w:b/>
                <w:bCs/>
                <w:color w:val="14213D"/>
                <w:sz w:val="18"/>
                <w:szCs w:val="18"/>
              </w:rPr>
              <w:t xml:space="preserve">Size</w:t>
            </w:r>
          </w:p>
        </w:tc>
        <w:tc>
          <w:tcPr>
            <w:tcW w:type="dxa" w:w="1334"/>
            <w:tcBorders>
              <w:top w:val="single" w:color="B8C4D6" w:sz="4"/>
              <w:left w:val="single" w:color="B8C4D6" w:sz="4"/>
              <w:bottom w:val="single" w:color="B8C4D6" w:sz="4"/>
              <w:right w:val="single" w:color="B8C4D6" w:sz="4"/>
            </w:tcBorders>
            <w:shd w:fill="E8EEF5" w:color="auto" w:val="clear"/>
            <w:tcMar>
              <w:top w:type="dxa" w:w="70"/>
              <w:left w:type="dxa" w:w="110"/>
              <w:bottom w:type="dxa" w:w="70"/>
              <w:right w:type="dxa" w:w="110"/>
            </w:tcMar>
            <w:vAlign w:val="center"/>
          </w:tcPr>
          <w:p>
            <w:pPr>
              <w:keepNext w:val="false"/>
              <w:jc w:val="right"/>
            </w:pPr>
            <w:r>
              <w:rPr>
                <w:b/>
                <w:bCs/>
                <w:color w:val="14213D"/>
                <w:sz w:val="18"/>
                <w:szCs w:val="18"/>
              </w:rPr>
              <w:t xml:space="preserve">Assets</w:t>
            </w:r>
          </w:p>
        </w:tc>
        <w:tc>
          <w:tcPr>
            <w:tcW w:type="dxa" w:w="1715"/>
            <w:tcBorders>
              <w:top w:val="single" w:color="B8C4D6" w:sz="4"/>
              <w:left w:val="single" w:color="B8C4D6" w:sz="4"/>
              <w:bottom w:val="single" w:color="B8C4D6" w:sz="4"/>
              <w:right w:val="single" w:color="B8C4D6" w:sz="4"/>
            </w:tcBorders>
            <w:shd w:fill="E8EEF5" w:color="auto" w:val="clear"/>
            <w:tcMar>
              <w:top w:type="dxa" w:w="70"/>
              <w:left w:type="dxa" w:w="110"/>
              <w:bottom w:type="dxa" w:w="70"/>
              <w:right w:type="dxa" w:w="110"/>
            </w:tcMar>
            <w:vAlign w:val="center"/>
          </w:tcPr>
          <w:p>
            <w:pPr>
              <w:keepNext w:val="false"/>
              <w:jc w:val="right"/>
            </w:pPr>
            <w:r>
              <w:rPr>
                <w:b/>
                <w:bCs/>
                <w:color w:val="14213D"/>
                <w:sz w:val="18"/>
                <w:szCs w:val="18"/>
              </w:rPr>
              <w:t xml:space="preserve">Production units</w:t>
            </w:r>
          </w:p>
        </w:tc>
        <w:tc>
          <w:tcPr>
            <w:tcW w:type="dxa" w:w="1524"/>
            <w:tcBorders>
              <w:top w:val="single" w:color="B8C4D6" w:sz="4"/>
              <w:left w:val="single" w:color="B8C4D6" w:sz="4"/>
              <w:bottom w:val="single" w:color="B8C4D6" w:sz="4"/>
              <w:right w:val="single" w:color="B8C4D6" w:sz="4"/>
            </w:tcBorders>
            <w:shd w:fill="E8EEF5" w:color="auto" w:val="clear"/>
            <w:tcMar>
              <w:top w:type="dxa" w:w="70"/>
              <w:left w:type="dxa" w:w="110"/>
              <w:bottom w:type="dxa" w:w="70"/>
              <w:right w:type="dxa" w:w="110"/>
            </w:tcMar>
            <w:vAlign w:val="center"/>
          </w:tcPr>
          <w:p>
            <w:pPr>
              <w:keepNext w:val="false"/>
              <w:jc w:val="right"/>
            </w:pPr>
            <w:r>
              <w:rPr>
                <w:b/>
                <w:bCs/>
                <w:color w:val="14213D"/>
                <w:sz w:val="18"/>
                <w:szCs w:val="18"/>
              </w:rPr>
              <w:t xml:space="preserve">Measured series</w:t>
            </w:r>
          </w:p>
        </w:tc>
        <w:tc>
          <w:tcPr>
            <w:tcW w:type="dxa" w:w="1523"/>
            <w:tcBorders>
              <w:top w:val="single" w:color="B8C4D6" w:sz="4"/>
              <w:left w:val="single" w:color="B8C4D6" w:sz="4"/>
              <w:bottom w:val="single" w:color="B8C4D6" w:sz="4"/>
              <w:right w:val="single" w:color="B8C4D6" w:sz="4"/>
            </w:tcBorders>
            <w:shd w:fill="E8EEF5" w:color="auto" w:val="clear"/>
            <w:tcMar>
              <w:top w:type="dxa" w:w="70"/>
              <w:left w:type="dxa" w:w="110"/>
              <w:bottom w:type="dxa" w:w="70"/>
              <w:right w:type="dxa" w:w="110"/>
            </w:tcMar>
            <w:vAlign w:val="center"/>
          </w:tcPr>
          <w:p>
            <w:pPr>
              <w:keepNext w:val="false"/>
              <w:jc w:val="right"/>
            </w:pPr>
            <w:r>
              <w:rPr>
                <w:b/>
                <w:bCs/>
                <w:color w:val="14213D"/>
                <w:sz w:val="18"/>
                <w:szCs w:val="18"/>
              </w:rPr>
              <w:t xml:space="preserve">OEE series</w:t>
            </w:r>
          </w:p>
        </w:tc>
      </w:tr>
      <w:tr>
        <w:trPr>
          <w:cantSplit/>
        </w:trPr>
        <w:tc>
          <w:tcPr>
            <w:tcW w:type="dxa" w:w="2096"/>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Chicago</w:t>
            </w:r>
          </w:p>
        </w:tc>
        <w:tc>
          <w:tcPr>
            <w:tcW w:type="dxa" w:w="133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Small</w:t>
            </w:r>
          </w:p>
        </w:tc>
        <w:tc>
          <w:tcPr>
            <w:tcW w:type="dxa" w:w="133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right"/>
            </w:pPr>
            <w:r>
              <w:rPr>
                <w:b w:val="false"/>
                <w:bCs w:val="false"/>
                <w:color w:val="2B2B2B"/>
                <w:sz w:val="18"/>
                <w:szCs w:val="18"/>
              </w:rPr>
              <w:t xml:space="preserve">58</w:t>
            </w:r>
          </w:p>
        </w:tc>
        <w:tc>
          <w:tcPr>
            <w:tcW w:type="dxa" w:w="1715"/>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right"/>
            </w:pPr>
            <w:r>
              <w:rPr>
                <w:b w:val="false"/>
                <w:bCs w:val="false"/>
                <w:color w:val="2B2B2B"/>
                <w:sz w:val="18"/>
                <w:szCs w:val="18"/>
              </w:rPr>
              <w:t xml:space="preserve">34</w:t>
            </w:r>
          </w:p>
        </w:tc>
        <w:tc>
          <w:tcPr>
            <w:tcW w:type="dxa" w:w="152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right"/>
            </w:pPr>
            <w:r>
              <w:rPr>
                <w:b w:val="false"/>
                <w:bCs w:val="false"/>
                <w:color w:val="2B2B2B"/>
                <w:sz w:val="18"/>
                <w:szCs w:val="18"/>
              </w:rPr>
              <w:t xml:space="preserve">136</w:t>
            </w:r>
          </w:p>
        </w:tc>
        <w:tc>
          <w:tcPr>
            <w:tcW w:type="dxa" w:w="1523"/>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right"/>
            </w:pPr>
            <w:r>
              <w:rPr>
                <w:b w:val="false"/>
                <w:bCs w:val="false"/>
                <w:color w:val="2B2B2B"/>
                <w:sz w:val="18"/>
                <w:szCs w:val="18"/>
              </w:rPr>
              <w:t xml:space="preserve">170</w:t>
            </w:r>
          </w:p>
        </w:tc>
      </w:tr>
      <w:tr>
        <w:trPr>
          <w:cantSplit/>
        </w:trPr>
        <w:tc>
          <w:tcPr>
            <w:tcW w:type="dxa" w:w="2096"/>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Hannover</w:t>
            </w:r>
          </w:p>
        </w:tc>
        <w:tc>
          <w:tcPr>
            <w:tcW w:type="dxa" w:w="133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Medium</w:t>
            </w:r>
          </w:p>
        </w:tc>
        <w:tc>
          <w:tcPr>
            <w:tcW w:type="dxa" w:w="133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right"/>
            </w:pPr>
            <w:r>
              <w:rPr>
                <w:b w:val="false"/>
                <w:bCs w:val="false"/>
                <w:color w:val="2B2B2B"/>
                <w:sz w:val="18"/>
                <w:szCs w:val="18"/>
              </w:rPr>
              <w:t xml:space="preserve">107</w:t>
            </w:r>
          </w:p>
        </w:tc>
        <w:tc>
          <w:tcPr>
            <w:tcW w:type="dxa" w:w="1715"/>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right"/>
            </w:pPr>
            <w:r>
              <w:rPr>
                <w:b w:val="false"/>
                <w:bCs w:val="false"/>
                <w:color w:val="2B2B2B"/>
                <w:sz w:val="18"/>
                <w:szCs w:val="18"/>
              </w:rPr>
              <w:t xml:space="preserve">66</w:t>
            </w:r>
          </w:p>
        </w:tc>
        <w:tc>
          <w:tcPr>
            <w:tcW w:type="dxa" w:w="152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right"/>
            </w:pPr>
            <w:r>
              <w:rPr>
                <w:b w:val="false"/>
                <w:bCs w:val="false"/>
                <w:color w:val="2B2B2B"/>
                <w:sz w:val="18"/>
                <w:szCs w:val="18"/>
              </w:rPr>
              <w:t xml:space="preserve">264</w:t>
            </w:r>
          </w:p>
        </w:tc>
        <w:tc>
          <w:tcPr>
            <w:tcW w:type="dxa" w:w="1523"/>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right"/>
            </w:pPr>
            <w:r>
              <w:rPr>
                <w:b w:val="false"/>
                <w:bCs w:val="false"/>
                <w:color w:val="2B2B2B"/>
                <w:sz w:val="18"/>
                <w:szCs w:val="18"/>
              </w:rPr>
              <w:t xml:space="preserve">330</w:t>
            </w:r>
          </w:p>
        </w:tc>
      </w:tr>
      <w:tr>
        <w:trPr>
          <w:cantSplit/>
        </w:trPr>
        <w:tc>
          <w:tcPr>
            <w:tcW w:type="dxa" w:w="2096"/>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Houston</w:t>
            </w:r>
          </w:p>
        </w:tc>
        <w:tc>
          <w:tcPr>
            <w:tcW w:type="dxa" w:w="133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Small</w:t>
            </w:r>
          </w:p>
        </w:tc>
        <w:tc>
          <w:tcPr>
            <w:tcW w:type="dxa" w:w="133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right"/>
            </w:pPr>
            <w:r>
              <w:rPr>
                <w:b w:val="false"/>
                <w:bCs w:val="false"/>
                <w:color w:val="2B2B2B"/>
                <w:sz w:val="18"/>
                <w:szCs w:val="18"/>
              </w:rPr>
              <w:t xml:space="preserve">58</w:t>
            </w:r>
          </w:p>
        </w:tc>
        <w:tc>
          <w:tcPr>
            <w:tcW w:type="dxa" w:w="1715"/>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right"/>
            </w:pPr>
            <w:r>
              <w:rPr>
                <w:b w:val="false"/>
                <w:bCs w:val="false"/>
                <w:color w:val="2B2B2B"/>
                <w:sz w:val="18"/>
                <w:szCs w:val="18"/>
              </w:rPr>
              <w:t xml:space="preserve">34</w:t>
            </w:r>
          </w:p>
        </w:tc>
        <w:tc>
          <w:tcPr>
            <w:tcW w:type="dxa" w:w="152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right"/>
            </w:pPr>
            <w:r>
              <w:rPr>
                <w:b w:val="false"/>
                <w:bCs w:val="false"/>
                <w:color w:val="2B2B2B"/>
                <w:sz w:val="18"/>
                <w:szCs w:val="18"/>
              </w:rPr>
              <w:t xml:space="preserve">136</w:t>
            </w:r>
          </w:p>
        </w:tc>
        <w:tc>
          <w:tcPr>
            <w:tcW w:type="dxa" w:w="1523"/>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right"/>
            </w:pPr>
            <w:r>
              <w:rPr>
                <w:b w:val="false"/>
                <w:bCs w:val="false"/>
                <w:color w:val="2B2B2B"/>
                <w:sz w:val="18"/>
                <w:szCs w:val="18"/>
              </w:rPr>
              <w:t xml:space="preserve">170</w:t>
            </w:r>
          </w:p>
        </w:tc>
      </w:tr>
      <w:tr>
        <w:trPr>
          <w:cantSplit/>
        </w:trPr>
        <w:tc>
          <w:tcPr>
            <w:tcW w:type="dxa" w:w="2096"/>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Kuala Lumpur</w:t>
            </w:r>
          </w:p>
        </w:tc>
        <w:tc>
          <w:tcPr>
            <w:tcW w:type="dxa" w:w="133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Large</w:t>
            </w:r>
          </w:p>
        </w:tc>
        <w:tc>
          <w:tcPr>
            <w:tcW w:type="dxa" w:w="133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right"/>
            </w:pPr>
            <w:r>
              <w:rPr>
                <w:b w:val="false"/>
                <w:bCs w:val="false"/>
                <w:color w:val="2B2B2B"/>
                <w:sz w:val="18"/>
                <w:szCs w:val="18"/>
              </w:rPr>
              <w:t xml:space="preserve">156</w:t>
            </w:r>
          </w:p>
        </w:tc>
        <w:tc>
          <w:tcPr>
            <w:tcW w:type="dxa" w:w="1715"/>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right"/>
            </w:pPr>
            <w:r>
              <w:rPr>
                <w:b w:val="false"/>
                <w:bCs w:val="false"/>
                <w:color w:val="2B2B2B"/>
                <w:sz w:val="18"/>
                <w:szCs w:val="18"/>
              </w:rPr>
              <w:t xml:space="preserve">98</w:t>
            </w:r>
          </w:p>
        </w:tc>
        <w:tc>
          <w:tcPr>
            <w:tcW w:type="dxa" w:w="152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right"/>
            </w:pPr>
            <w:r>
              <w:rPr>
                <w:b w:val="false"/>
                <w:bCs w:val="false"/>
                <w:color w:val="2B2B2B"/>
                <w:sz w:val="18"/>
                <w:szCs w:val="18"/>
              </w:rPr>
              <w:t xml:space="preserve">392</w:t>
            </w:r>
          </w:p>
        </w:tc>
        <w:tc>
          <w:tcPr>
            <w:tcW w:type="dxa" w:w="1523"/>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right"/>
            </w:pPr>
            <w:r>
              <w:rPr>
                <w:b w:val="false"/>
                <w:bCs w:val="false"/>
                <w:color w:val="2B2B2B"/>
                <w:sz w:val="18"/>
                <w:szCs w:val="18"/>
              </w:rPr>
              <w:t xml:space="preserve">490</w:t>
            </w:r>
          </w:p>
        </w:tc>
      </w:tr>
      <w:tr>
        <w:trPr>
          <w:cantSplit/>
        </w:trPr>
        <w:tc>
          <w:tcPr>
            <w:tcW w:type="dxa" w:w="2096"/>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London</w:t>
            </w:r>
          </w:p>
        </w:tc>
        <w:tc>
          <w:tcPr>
            <w:tcW w:type="dxa" w:w="133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Medium</w:t>
            </w:r>
          </w:p>
        </w:tc>
        <w:tc>
          <w:tcPr>
            <w:tcW w:type="dxa" w:w="133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right"/>
            </w:pPr>
            <w:r>
              <w:rPr>
                <w:b w:val="false"/>
                <w:bCs w:val="false"/>
                <w:color w:val="2B2B2B"/>
                <w:sz w:val="18"/>
                <w:szCs w:val="18"/>
              </w:rPr>
              <w:t xml:space="preserve">107</w:t>
            </w:r>
          </w:p>
        </w:tc>
        <w:tc>
          <w:tcPr>
            <w:tcW w:type="dxa" w:w="1715"/>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right"/>
            </w:pPr>
            <w:r>
              <w:rPr>
                <w:b w:val="false"/>
                <w:bCs w:val="false"/>
                <w:color w:val="2B2B2B"/>
                <w:sz w:val="18"/>
                <w:szCs w:val="18"/>
              </w:rPr>
              <w:t xml:space="preserve">66</w:t>
            </w:r>
          </w:p>
        </w:tc>
        <w:tc>
          <w:tcPr>
            <w:tcW w:type="dxa" w:w="152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right"/>
            </w:pPr>
            <w:r>
              <w:rPr>
                <w:b w:val="false"/>
                <w:bCs w:val="false"/>
                <w:color w:val="2B2B2B"/>
                <w:sz w:val="18"/>
                <w:szCs w:val="18"/>
              </w:rPr>
              <w:t xml:space="preserve">264</w:t>
            </w:r>
          </w:p>
        </w:tc>
        <w:tc>
          <w:tcPr>
            <w:tcW w:type="dxa" w:w="1523"/>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right"/>
            </w:pPr>
            <w:r>
              <w:rPr>
                <w:b w:val="false"/>
                <w:bCs w:val="false"/>
                <w:color w:val="2B2B2B"/>
                <w:sz w:val="18"/>
                <w:szCs w:val="18"/>
              </w:rPr>
              <w:t xml:space="preserve">330</w:t>
            </w:r>
          </w:p>
        </w:tc>
      </w:tr>
      <w:tr>
        <w:trPr>
          <w:cantSplit/>
        </w:trPr>
        <w:tc>
          <w:tcPr>
            <w:tcW w:type="dxa" w:w="2096"/>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Marseille</w:t>
            </w:r>
          </w:p>
        </w:tc>
        <w:tc>
          <w:tcPr>
            <w:tcW w:type="dxa" w:w="133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Medium</w:t>
            </w:r>
          </w:p>
        </w:tc>
        <w:tc>
          <w:tcPr>
            <w:tcW w:type="dxa" w:w="133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right"/>
            </w:pPr>
            <w:r>
              <w:rPr>
                <w:b w:val="false"/>
                <w:bCs w:val="false"/>
                <w:color w:val="2B2B2B"/>
                <w:sz w:val="18"/>
                <w:szCs w:val="18"/>
              </w:rPr>
              <w:t xml:space="preserve">107</w:t>
            </w:r>
          </w:p>
        </w:tc>
        <w:tc>
          <w:tcPr>
            <w:tcW w:type="dxa" w:w="1715"/>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right"/>
            </w:pPr>
            <w:r>
              <w:rPr>
                <w:b w:val="false"/>
                <w:bCs w:val="false"/>
                <w:color w:val="2B2B2B"/>
                <w:sz w:val="18"/>
                <w:szCs w:val="18"/>
              </w:rPr>
              <w:t xml:space="preserve">66</w:t>
            </w:r>
          </w:p>
        </w:tc>
        <w:tc>
          <w:tcPr>
            <w:tcW w:type="dxa" w:w="152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right"/>
            </w:pPr>
            <w:r>
              <w:rPr>
                <w:b w:val="false"/>
                <w:bCs w:val="false"/>
                <w:color w:val="2B2B2B"/>
                <w:sz w:val="18"/>
                <w:szCs w:val="18"/>
              </w:rPr>
              <w:t xml:space="preserve">264</w:t>
            </w:r>
          </w:p>
        </w:tc>
        <w:tc>
          <w:tcPr>
            <w:tcW w:type="dxa" w:w="1523"/>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right"/>
            </w:pPr>
            <w:r>
              <w:rPr>
                <w:b w:val="false"/>
                <w:bCs w:val="false"/>
                <w:color w:val="2B2B2B"/>
                <w:sz w:val="18"/>
                <w:szCs w:val="18"/>
              </w:rPr>
              <w:t xml:space="preserve">330</w:t>
            </w:r>
          </w:p>
        </w:tc>
      </w:tr>
      <w:tr>
        <w:trPr>
          <w:cantSplit/>
        </w:trPr>
        <w:tc>
          <w:tcPr>
            <w:tcW w:type="dxa" w:w="2096"/>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Nuremberg</w:t>
            </w:r>
          </w:p>
        </w:tc>
        <w:tc>
          <w:tcPr>
            <w:tcW w:type="dxa" w:w="133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Large</w:t>
            </w:r>
          </w:p>
        </w:tc>
        <w:tc>
          <w:tcPr>
            <w:tcW w:type="dxa" w:w="133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right"/>
            </w:pPr>
            <w:r>
              <w:rPr>
                <w:b w:val="false"/>
                <w:bCs w:val="false"/>
                <w:color w:val="2B2B2B"/>
                <w:sz w:val="18"/>
                <w:szCs w:val="18"/>
              </w:rPr>
              <w:t xml:space="preserve">156</w:t>
            </w:r>
          </w:p>
        </w:tc>
        <w:tc>
          <w:tcPr>
            <w:tcW w:type="dxa" w:w="1715"/>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right"/>
            </w:pPr>
            <w:r>
              <w:rPr>
                <w:b w:val="false"/>
                <w:bCs w:val="false"/>
                <w:color w:val="2B2B2B"/>
                <w:sz w:val="18"/>
                <w:szCs w:val="18"/>
              </w:rPr>
              <w:t xml:space="preserve">98</w:t>
            </w:r>
          </w:p>
        </w:tc>
        <w:tc>
          <w:tcPr>
            <w:tcW w:type="dxa" w:w="152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right"/>
            </w:pPr>
            <w:r>
              <w:rPr>
                <w:b w:val="false"/>
                <w:bCs w:val="false"/>
                <w:color w:val="2B2B2B"/>
                <w:sz w:val="18"/>
                <w:szCs w:val="18"/>
              </w:rPr>
              <w:t xml:space="preserve">392</w:t>
            </w:r>
          </w:p>
        </w:tc>
        <w:tc>
          <w:tcPr>
            <w:tcW w:type="dxa" w:w="1523"/>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right"/>
            </w:pPr>
            <w:r>
              <w:rPr>
                <w:b w:val="false"/>
                <w:bCs w:val="false"/>
                <w:color w:val="2B2B2B"/>
                <w:sz w:val="18"/>
                <w:szCs w:val="18"/>
              </w:rPr>
              <w:t xml:space="preserve">490</w:t>
            </w:r>
          </w:p>
        </w:tc>
      </w:tr>
      <w:tr>
        <w:trPr>
          <w:cantSplit/>
        </w:trPr>
        <w:tc>
          <w:tcPr>
            <w:tcW w:type="dxa" w:w="2096"/>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Oslo</w:t>
            </w:r>
          </w:p>
        </w:tc>
        <w:tc>
          <w:tcPr>
            <w:tcW w:type="dxa" w:w="133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Small</w:t>
            </w:r>
          </w:p>
        </w:tc>
        <w:tc>
          <w:tcPr>
            <w:tcW w:type="dxa" w:w="133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right"/>
            </w:pPr>
            <w:r>
              <w:rPr>
                <w:b w:val="false"/>
                <w:bCs w:val="false"/>
                <w:color w:val="2B2B2B"/>
                <w:sz w:val="18"/>
                <w:szCs w:val="18"/>
              </w:rPr>
              <w:t xml:space="preserve">58</w:t>
            </w:r>
          </w:p>
        </w:tc>
        <w:tc>
          <w:tcPr>
            <w:tcW w:type="dxa" w:w="1715"/>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right"/>
            </w:pPr>
            <w:r>
              <w:rPr>
                <w:b w:val="false"/>
                <w:bCs w:val="false"/>
                <w:color w:val="2B2B2B"/>
                <w:sz w:val="18"/>
                <w:szCs w:val="18"/>
              </w:rPr>
              <w:t xml:space="preserve">34</w:t>
            </w:r>
          </w:p>
        </w:tc>
        <w:tc>
          <w:tcPr>
            <w:tcW w:type="dxa" w:w="152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right"/>
            </w:pPr>
            <w:r>
              <w:rPr>
                <w:b w:val="false"/>
                <w:bCs w:val="false"/>
                <w:color w:val="2B2B2B"/>
                <w:sz w:val="18"/>
                <w:szCs w:val="18"/>
              </w:rPr>
              <w:t xml:space="preserve">136</w:t>
            </w:r>
          </w:p>
        </w:tc>
        <w:tc>
          <w:tcPr>
            <w:tcW w:type="dxa" w:w="1523"/>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right"/>
            </w:pPr>
            <w:r>
              <w:rPr>
                <w:b w:val="false"/>
                <w:bCs w:val="false"/>
                <w:color w:val="2B2B2B"/>
                <w:sz w:val="18"/>
                <w:szCs w:val="18"/>
              </w:rPr>
              <w:t xml:space="preserve">170</w:t>
            </w:r>
          </w:p>
        </w:tc>
      </w:tr>
      <w:tr>
        <w:trPr>
          <w:cantSplit/>
        </w:trPr>
        <w:tc>
          <w:tcPr>
            <w:tcW w:type="dxa" w:w="2096"/>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Rotterdam</w:t>
            </w:r>
          </w:p>
        </w:tc>
        <w:tc>
          <w:tcPr>
            <w:tcW w:type="dxa" w:w="133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Large</w:t>
            </w:r>
          </w:p>
        </w:tc>
        <w:tc>
          <w:tcPr>
            <w:tcW w:type="dxa" w:w="133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right"/>
            </w:pPr>
            <w:r>
              <w:rPr>
                <w:b w:val="false"/>
                <w:bCs w:val="false"/>
                <w:color w:val="2B2B2B"/>
                <w:sz w:val="18"/>
                <w:szCs w:val="18"/>
              </w:rPr>
              <w:t xml:space="preserve">156</w:t>
            </w:r>
          </w:p>
        </w:tc>
        <w:tc>
          <w:tcPr>
            <w:tcW w:type="dxa" w:w="1715"/>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right"/>
            </w:pPr>
            <w:r>
              <w:rPr>
                <w:b w:val="false"/>
                <w:bCs w:val="false"/>
                <w:color w:val="2B2B2B"/>
                <w:sz w:val="18"/>
                <w:szCs w:val="18"/>
              </w:rPr>
              <w:t xml:space="preserve">98</w:t>
            </w:r>
          </w:p>
        </w:tc>
        <w:tc>
          <w:tcPr>
            <w:tcW w:type="dxa" w:w="152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right"/>
            </w:pPr>
            <w:r>
              <w:rPr>
                <w:b w:val="false"/>
                <w:bCs w:val="false"/>
                <w:color w:val="2B2B2B"/>
                <w:sz w:val="18"/>
                <w:szCs w:val="18"/>
              </w:rPr>
              <w:t xml:space="preserve">392</w:t>
            </w:r>
          </w:p>
        </w:tc>
        <w:tc>
          <w:tcPr>
            <w:tcW w:type="dxa" w:w="1523"/>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right"/>
            </w:pPr>
            <w:r>
              <w:rPr>
                <w:b w:val="false"/>
                <w:bCs w:val="false"/>
                <w:color w:val="2B2B2B"/>
                <w:sz w:val="18"/>
                <w:szCs w:val="18"/>
              </w:rPr>
              <w:t xml:space="preserve">490</w:t>
            </w:r>
          </w:p>
        </w:tc>
      </w:tr>
      <w:tr>
        <w:trPr>
          <w:cantSplit/>
        </w:trPr>
        <w:tc>
          <w:tcPr>
            <w:tcW w:type="dxa" w:w="2096"/>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Sao Paulo</w:t>
            </w:r>
          </w:p>
        </w:tc>
        <w:tc>
          <w:tcPr>
            <w:tcW w:type="dxa" w:w="133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Small</w:t>
            </w:r>
          </w:p>
        </w:tc>
        <w:tc>
          <w:tcPr>
            <w:tcW w:type="dxa" w:w="133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right"/>
            </w:pPr>
            <w:r>
              <w:rPr>
                <w:b w:val="false"/>
                <w:bCs w:val="false"/>
                <w:color w:val="2B2B2B"/>
                <w:sz w:val="18"/>
                <w:szCs w:val="18"/>
              </w:rPr>
              <w:t xml:space="preserve">58</w:t>
            </w:r>
          </w:p>
        </w:tc>
        <w:tc>
          <w:tcPr>
            <w:tcW w:type="dxa" w:w="1715"/>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right"/>
            </w:pPr>
            <w:r>
              <w:rPr>
                <w:b w:val="false"/>
                <w:bCs w:val="false"/>
                <w:color w:val="2B2B2B"/>
                <w:sz w:val="18"/>
                <w:szCs w:val="18"/>
              </w:rPr>
              <w:t xml:space="preserve">34</w:t>
            </w:r>
          </w:p>
        </w:tc>
        <w:tc>
          <w:tcPr>
            <w:tcW w:type="dxa" w:w="152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right"/>
            </w:pPr>
            <w:r>
              <w:rPr>
                <w:b w:val="false"/>
                <w:bCs w:val="false"/>
                <w:color w:val="2B2B2B"/>
                <w:sz w:val="18"/>
                <w:szCs w:val="18"/>
              </w:rPr>
              <w:t xml:space="preserve">136</w:t>
            </w:r>
          </w:p>
        </w:tc>
        <w:tc>
          <w:tcPr>
            <w:tcW w:type="dxa" w:w="1523"/>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right"/>
            </w:pPr>
            <w:r>
              <w:rPr>
                <w:b w:val="false"/>
                <w:bCs w:val="false"/>
                <w:color w:val="2B2B2B"/>
                <w:sz w:val="18"/>
                <w:szCs w:val="18"/>
              </w:rPr>
              <w:t xml:space="preserve">170</w:t>
            </w:r>
          </w:p>
        </w:tc>
      </w:tr>
      <w:tr>
        <w:trPr>
          <w:cantSplit/>
        </w:trPr>
        <w:tc>
          <w:tcPr>
            <w:tcW w:type="dxa" w:w="2096"/>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bCs/>
                <w:color w:val="2B2B2B"/>
                <w:sz w:val="18"/>
                <w:szCs w:val="18"/>
              </w:rPr>
              <w:t xml:space="preserve">Total</w:t>
            </w:r>
          </w:p>
        </w:tc>
        <w:tc>
          <w:tcPr>
            <w:tcW w:type="dxa" w:w="133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p>
        </w:tc>
        <w:tc>
          <w:tcPr>
            <w:tcW w:type="dxa" w:w="133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right"/>
            </w:pPr>
            <w:r>
              <w:rPr>
                <w:b/>
                <w:bCs/>
                <w:color w:val="2B2B2B"/>
                <w:sz w:val="18"/>
                <w:szCs w:val="18"/>
              </w:rPr>
              <w:t xml:space="preserve">1,021</w:t>
            </w:r>
          </w:p>
        </w:tc>
        <w:tc>
          <w:tcPr>
            <w:tcW w:type="dxa" w:w="1715"/>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right"/>
            </w:pPr>
            <w:r>
              <w:rPr>
                <w:b/>
                <w:bCs/>
                <w:color w:val="2B2B2B"/>
                <w:sz w:val="18"/>
                <w:szCs w:val="18"/>
              </w:rPr>
              <w:t xml:space="preserve">628</w:t>
            </w:r>
          </w:p>
        </w:tc>
        <w:tc>
          <w:tcPr>
            <w:tcW w:type="dxa" w:w="152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right"/>
            </w:pPr>
            <w:r>
              <w:rPr>
                <w:b/>
                <w:bCs/>
                <w:color w:val="2B2B2B"/>
                <w:sz w:val="18"/>
                <w:szCs w:val="18"/>
              </w:rPr>
              <w:t xml:space="preserve">2,512</w:t>
            </w:r>
          </w:p>
        </w:tc>
        <w:tc>
          <w:tcPr>
            <w:tcW w:type="dxa" w:w="1523"/>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right"/>
            </w:pPr>
            <w:r>
              <w:rPr>
                <w:b/>
                <w:bCs/>
                <w:color w:val="2B2B2B"/>
                <w:sz w:val="18"/>
                <w:szCs w:val="18"/>
              </w:rPr>
              <w:t xml:space="preserve">3,140</w:t>
            </w:r>
          </w:p>
        </w:tc>
      </w:tr>
    </w:tbl>
    <w:p>
      <w:pPr>
        <w:spacing w:after="160" w:before="80"/>
        <w:rPr>
          <w:i/>
          <w:iCs/>
          <w:color w:val="5F6B7A"/>
          <w:sz w:val="18"/>
          <w:szCs w:val="18"/>
        </w:rPr>
      </w:pPr>
      <w:r>
        <w:rPr>
          <w:i/>
          <w:iCs/>
          <w:color w:val="5F6B7A"/>
          <w:sz w:val="18"/>
          <w:szCs w:val="18"/>
        </w:rPr>
        <w:t xml:space="preserve">Figures read from the test project; the production project holds the same counts. A small site has one production branch of seven lines, a medium site two, a large site three.</w:t>
      </w:r>
    </w:p>
    <w:p>
      <w:pPr>
        <w:pStyle w:val="Heading2"/>
      </w:pPr>
      <w:r>
        <w:t xml:space="preserve">4.3 OEE calculation</w:t>
      </w:r>
    </w:p>
    <w:p>
      <w:pPr>
        <w:spacing w:after="120" w:line="288"/>
      </w:pPr>
      <w:r>
        <w:t xml:space="preserve">OEE is the share of planned production time that is truly productive: 100% means only conforming items, at the maximum rate, with no downtime. It is used to track the reduction of losses on a machine and to compare lines, shifts or an industry standard.</w:t>
      </w:r>
    </w:p>
    <w:p>
      <w:pPr>
        <w:keepNext/>
        <w:spacing w:after="120" w:line="288"/>
      </w:pPr>
      <w:r>
        <w:t xml:space="preserve">OEE is the product of three ratios, calculated per production unit and per minute by the function supplied with the bootcamp:</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1905"/>
        <w:gridCol w:w="3429"/>
        <w:gridCol w:w="4192"/>
      </w:tblGrid>
      <w:tr>
        <w:trPr>
          <w:tblHeader/>
        </w:trPr>
        <w:tc>
          <w:tcPr>
            <w:tcW w:type="dxa" w:w="1905"/>
            <w:tcBorders>
              <w:top w:val="single" w:color="B8C4D6" w:sz="4"/>
              <w:left w:val="single" w:color="B8C4D6" w:sz="4"/>
              <w:bottom w:val="single" w:color="B8C4D6" w:sz="4"/>
              <w:right w:val="single" w:color="B8C4D6" w:sz="4"/>
            </w:tcBorders>
            <w:shd w:fill="E8EEF5" w:color="auto" w:val="clear"/>
            <w:tcMar>
              <w:top w:type="dxa" w:w="70"/>
              <w:left w:type="dxa" w:w="110"/>
              <w:bottom w:type="dxa" w:w="70"/>
              <w:right w:type="dxa" w:w="110"/>
            </w:tcMar>
            <w:vAlign w:val="center"/>
          </w:tcPr>
          <w:p>
            <w:pPr>
              <w:keepNext/>
              <w:jc w:val="left"/>
            </w:pPr>
            <w:r>
              <w:rPr>
                <w:b/>
                <w:bCs/>
                <w:color w:val="14213D"/>
                <w:sz w:val="18"/>
                <w:szCs w:val="18"/>
              </w:rPr>
              <w:t xml:space="preserve">Calculated series</w:t>
            </w:r>
          </w:p>
        </w:tc>
        <w:tc>
          <w:tcPr>
            <w:tcW w:type="dxa" w:w="3429"/>
            <w:tcBorders>
              <w:top w:val="single" w:color="B8C4D6" w:sz="4"/>
              <w:left w:val="single" w:color="B8C4D6" w:sz="4"/>
              <w:bottom w:val="single" w:color="B8C4D6" w:sz="4"/>
              <w:right w:val="single" w:color="B8C4D6" w:sz="4"/>
            </w:tcBorders>
            <w:shd w:fill="E8EEF5" w:color="auto" w:val="clear"/>
            <w:tcMar>
              <w:top w:type="dxa" w:w="70"/>
              <w:left w:type="dxa" w:w="110"/>
              <w:bottom w:type="dxa" w:w="70"/>
              <w:right w:type="dxa" w:w="110"/>
            </w:tcMar>
            <w:vAlign w:val="center"/>
          </w:tcPr>
          <w:p>
            <w:pPr>
              <w:keepNext/>
              <w:jc w:val="left"/>
            </w:pPr>
            <w:r>
              <w:rPr>
                <w:b/>
                <w:bCs/>
                <w:color w:val="14213D"/>
                <w:sz w:val="18"/>
                <w:szCs w:val="18"/>
              </w:rPr>
              <w:t xml:space="preserve">Formula (per minute)</w:t>
            </w:r>
          </w:p>
        </w:tc>
        <w:tc>
          <w:tcPr>
            <w:tcW w:type="dxa" w:w="4192"/>
            <w:tcBorders>
              <w:top w:val="single" w:color="B8C4D6" w:sz="4"/>
              <w:left w:val="single" w:color="B8C4D6" w:sz="4"/>
              <w:bottom w:val="single" w:color="B8C4D6" w:sz="4"/>
              <w:right w:val="single" w:color="B8C4D6" w:sz="4"/>
            </w:tcBorders>
            <w:shd w:fill="E8EEF5" w:color="auto" w:val="clear"/>
            <w:tcMar>
              <w:top w:type="dxa" w:w="70"/>
              <w:left w:type="dxa" w:w="110"/>
              <w:bottom w:type="dxa" w:w="70"/>
              <w:right w:type="dxa" w:w="110"/>
            </w:tcMar>
            <w:vAlign w:val="center"/>
          </w:tcPr>
          <w:p>
            <w:pPr>
              <w:keepNext/>
              <w:jc w:val="left"/>
            </w:pPr>
            <w:r>
              <w:rPr>
                <w:b/>
                <w:bCs/>
                <w:color w:val="14213D"/>
                <w:sz w:val="18"/>
                <w:szCs w:val="18"/>
              </w:rPr>
              <w:t xml:space="preserve">Meaning</w:t>
            </w:r>
          </w:p>
        </w:tc>
      </w:tr>
      <w:tr>
        <w:trPr>
          <w:cantSplit/>
        </w:trPr>
        <w:tc>
          <w:tcPr>
            <w:tcW w:type="dxa" w:w="1905"/>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rFonts w:ascii="Consolas" w:cs="Consolas" w:eastAsia="Consolas" w:hAnsi="Consolas"/>
                <w:b w:val="false"/>
                <w:bCs w:val="false"/>
                <w:color w:val="2B2B2B"/>
                <w:sz w:val="17"/>
                <w:szCs w:val="17"/>
              </w:rPr>
              <w:t xml:space="preserve">quality</w:t>
            </w:r>
          </w:p>
        </w:tc>
        <w:tc>
          <w:tcPr>
            <w:tcW w:type="dxa" w:w="3429"/>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rFonts w:ascii="Consolas" w:cs="Consolas" w:eastAsia="Consolas" w:hAnsi="Consolas"/>
                <w:b w:val="false"/>
                <w:bCs w:val="false"/>
                <w:color w:val="2B2B2B"/>
                <w:sz w:val="17"/>
                <w:szCs w:val="17"/>
              </w:rPr>
              <w:t xml:space="preserve">good / count</w:t>
            </w:r>
          </w:p>
        </w:tc>
        <w:tc>
          <w:tcPr>
            <w:tcW w:type="dxa" w:w="4192"/>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b w:val="false"/>
                <w:bCs w:val="false"/>
                <w:color w:val="2B2B2B"/>
                <w:sz w:val="18"/>
                <w:szCs w:val="18"/>
              </w:rPr>
              <w:t xml:space="preserve">Share of conforming items</w:t>
            </w:r>
          </w:p>
        </w:tc>
      </w:tr>
      <w:tr>
        <w:trPr>
          <w:cantSplit/>
        </w:trPr>
        <w:tc>
          <w:tcPr>
            <w:tcW w:type="dxa" w:w="1905"/>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rFonts w:ascii="Consolas" w:cs="Consolas" w:eastAsia="Consolas" w:hAnsi="Consolas"/>
                <w:b w:val="false"/>
                <w:bCs w:val="false"/>
                <w:color w:val="2B2B2B"/>
                <w:sz w:val="17"/>
                <w:szCs w:val="17"/>
              </w:rPr>
              <w:t xml:space="preserve">performance</w:t>
            </w:r>
          </w:p>
        </w:tc>
        <w:tc>
          <w:tcPr>
            <w:tcW w:type="dxa" w:w="3429"/>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rFonts w:ascii="Consolas" w:cs="Consolas" w:eastAsia="Consolas" w:hAnsi="Consolas"/>
                <w:b w:val="false"/>
                <w:bCs w:val="false"/>
                <w:color w:val="2B2B2B"/>
                <w:sz w:val="17"/>
                <w:szCs w:val="17"/>
              </w:rPr>
              <w:t xml:space="preserve">(count / status) / 20</w:t>
            </w:r>
          </w:p>
        </w:tc>
        <w:tc>
          <w:tcPr>
            <w:tcW w:type="dxa" w:w="4192"/>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b w:val="false"/>
                <w:bCs w:val="false"/>
                <w:color w:val="2B2B2B"/>
                <w:sz w:val="18"/>
                <w:szCs w:val="18"/>
              </w:rPr>
              <w:t xml:space="preserve">Actual rate against the ideal rate of one item every three seconds</w:t>
            </w:r>
          </w:p>
        </w:tc>
      </w:tr>
      <w:tr>
        <w:trPr>
          <w:cantSplit/>
        </w:trPr>
        <w:tc>
          <w:tcPr>
            <w:tcW w:type="dxa" w:w="1905"/>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rFonts w:ascii="Consolas" w:cs="Consolas" w:eastAsia="Consolas" w:hAnsi="Consolas"/>
                <w:b w:val="false"/>
                <w:bCs w:val="false"/>
                <w:color w:val="2B2B2B"/>
                <w:sz w:val="17"/>
                <w:szCs w:val="17"/>
              </w:rPr>
              <w:t xml:space="preserve">availability</w:t>
            </w:r>
          </w:p>
        </w:tc>
        <w:tc>
          <w:tcPr>
            <w:tcW w:type="dxa" w:w="3429"/>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rFonts w:ascii="Consolas" w:cs="Consolas" w:eastAsia="Consolas" w:hAnsi="Consolas"/>
                <w:b w:val="false"/>
                <w:bCs w:val="false"/>
                <w:color w:val="2B2B2B"/>
                <w:sz w:val="17"/>
                <w:szCs w:val="17"/>
              </w:rPr>
              <w:t xml:space="preserve">status / planned_status</w:t>
            </w:r>
          </w:p>
        </w:tc>
        <w:tc>
          <w:tcPr>
            <w:tcW w:type="dxa" w:w="4192"/>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b w:val="false"/>
                <w:bCs w:val="false"/>
                <w:color w:val="2B2B2B"/>
                <w:sz w:val="18"/>
                <w:szCs w:val="18"/>
              </w:rPr>
              <w:t xml:space="preserve">Running time against planned running time</w:t>
            </w:r>
          </w:p>
        </w:tc>
      </w:tr>
      <w:tr>
        <w:trPr>
          <w:cantSplit/>
        </w:trPr>
        <w:tc>
          <w:tcPr>
            <w:tcW w:type="dxa" w:w="1905"/>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rFonts w:ascii="Consolas" w:cs="Consolas" w:eastAsia="Consolas" w:hAnsi="Consolas"/>
                <w:b w:val="false"/>
                <w:bCs w:val="false"/>
                <w:color w:val="2B2B2B"/>
                <w:sz w:val="17"/>
                <w:szCs w:val="17"/>
              </w:rPr>
              <w:t xml:space="preserve">oee</w:t>
            </w:r>
          </w:p>
        </w:tc>
        <w:tc>
          <w:tcPr>
            <w:tcW w:type="dxa" w:w="3429"/>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rFonts w:ascii="Consolas" w:cs="Consolas" w:eastAsia="Consolas" w:hAnsi="Consolas"/>
                <w:b w:val="false"/>
                <w:bCs w:val="false"/>
                <w:color w:val="2B2B2B"/>
                <w:sz w:val="17"/>
                <w:szCs w:val="17"/>
              </w:rPr>
              <w:t xml:space="preserve">quality x performance x availability</w:t>
            </w:r>
          </w:p>
        </w:tc>
        <w:tc>
          <w:tcPr>
            <w:tcW w:type="dxa" w:w="4192"/>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b w:val="false"/>
                <w:bCs w:val="false"/>
                <w:color w:val="2B2B2B"/>
                <w:sz w:val="18"/>
                <w:szCs w:val="18"/>
              </w:rPr>
              <w:t xml:space="preserve">Overall Equipment Effectiveness</w:t>
            </w:r>
          </w:p>
        </w:tc>
      </w:tr>
      <w:tr>
        <w:trPr>
          <w:cantSplit/>
        </w:trPr>
        <w:tc>
          <w:tcPr>
            <w:tcW w:type="dxa" w:w="1905"/>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rFonts w:ascii="Consolas" w:cs="Consolas" w:eastAsia="Consolas" w:hAnsi="Consolas"/>
                <w:b w:val="false"/>
                <w:bCs w:val="false"/>
                <w:color w:val="2B2B2B"/>
                <w:sz w:val="17"/>
                <w:szCs w:val="17"/>
              </w:rPr>
              <w:t xml:space="preserve">off_spec</w:t>
            </w:r>
          </w:p>
        </w:tc>
        <w:tc>
          <w:tcPr>
            <w:tcW w:type="dxa" w:w="3429"/>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rFonts w:ascii="Consolas" w:cs="Consolas" w:eastAsia="Consolas" w:hAnsi="Consolas"/>
                <w:b w:val="false"/>
                <w:bCs w:val="false"/>
                <w:color w:val="2B2B2B"/>
                <w:sz w:val="17"/>
                <w:szCs w:val="17"/>
              </w:rPr>
              <w:t xml:space="preserve">count - good</w:t>
            </w:r>
          </w:p>
        </w:tc>
        <w:tc>
          <w:tcPr>
            <w:tcW w:type="dxa" w:w="4192"/>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Number of non-conforming items</w:t>
            </w:r>
          </w:p>
        </w:tc>
      </w:tr>
    </w:tbl>
    <w:p>
      <w:pPr>
        <w:spacing w:after="160" w:before="80"/>
        <w:rPr>
          <w:i/>
          <w:iCs/>
          <w:color w:val="5F6B7A"/>
          <w:sz w:val="18"/>
          <w:szCs w:val="18"/>
        </w:rPr>
      </w:pPr>
      <w:r>
        <w:rPr>
          <w:i/>
          <w:iCs/>
          <w:color w:val="5F6B7A"/>
          <w:sz w:val="18"/>
          <w:szCs w:val="18"/>
        </w:rPr>
        <w:t xml:space="preserve">For the unit used in the Charts and Canvas exercises (OSPRPATA241, the Oslo Balance Tank), the average OEE over the loaded period is 0.83, and 43 of the 310 hourly averages fall below the 0.7 alert threshold.</w:t>
      </w:r>
    </w:p>
    <w:p>
      <w:pPr>
        <w:pStyle w:val="Heading2"/>
      </w:pPr>
      <w:r>
        <w:t xml:space="preserve">4.4 Data quality controls</w:t>
      </w:r>
    </w:p>
    <w:p>
      <w:pPr>
        <w:spacing w:after="120" w:line="288"/>
      </w:pPr>
      <w:r>
        <w:t xml:space="preserve">Every step was verified by counting against an expected value rather than by relying on a status. The same controls are now automated in a read-only script, </w:t>
      </w:r>
      <w:r>
        <w:rPr>
          <w:rFonts w:ascii="Consolas" w:cs="Consolas" w:eastAsia="Consolas" w:hAnsi="Consolas"/>
          <w:sz w:val="20"/>
          <w:szCs w:val="20"/>
        </w:rPr>
        <w:t xml:space="preserve">scripts/check_project.py</w:t>
      </w:r>
      <w:r>
        <w:t xml:space="preserve">.</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4954"/>
        <w:gridCol w:w="1524"/>
        <w:gridCol w:w="1524"/>
        <w:gridCol w:w="1524"/>
      </w:tblGrid>
      <w:tr>
        <w:trPr>
          <w:tblHeader/>
        </w:trPr>
        <w:tc>
          <w:tcPr>
            <w:tcW w:type="dxa" w:w="4954"/>
            <w:tcBorders>
              <w:top w:val="single" w:color="B8C4D6" w:sz="4"/>
              <w:left w:val="single" w:color="B8C4D6" w:sz="4"/>
              <w:bottom w:val="single" w:color="B8C4D6" w:sz="4"/>
              <w:right w:val="single" w:color="B8C4D6" w:sz="4"/>
            </w:tcBorders>
            <w:shd w:fill="E8EEF5" w:color="auto" w:val="clear"/>
            <w:tcMar>
              <w:top w:type="dxa" w:w="70"/>
              <w:left w:type="dxa" w:w="110"/>
              <w:bottom w:type="dxa" w:w="70"/>
              <w:right w:type="dxa" w:w="110"/>
            </w:tcMar>
            <w:vAlign w:val="center"/>
          </w:tcPr>
          <w:p>
            <w:pPr>
              <w:keepNext w:val="false"/>
              <w:jc w:val="left"/>
            </w:pPr>
            <w:r>
              <w:rPr>
                <w:b/>
                <w:bCs/>
                <w:color w:val="14213D"/>
                <w:sz w:val="18"/>
                <w:szCs w:val="18"/>
              </w:rPr>
              <w:t xml:space="preserve">Control</w:t>
            </w:r>
          </w:p>
        </w:tc>
        <w:tc>
          <w:tcPr>
            <w:tcW w:type="dxa" w:w="1524"/>
            <w:tcBorders>
              <w:top w:val="single" w:color="B8C4D6" w:sz="4"/>
              <w:left w:val="single" w:color="B8C4D6" w:sz="4"/>
              <w:bottom w:val="single" w:color="B8C4D6" w:sz="4"/>
              <w:right w:val="single" w:color="B8C4D6" w:sz="4"/>
            </w:tcBorders>
            <w:shd w:fill="E8EEF5" w:color="auto" w:val="clear"/>
            <w:tcMar>
              <w:top w:type="dxa" w:w="70"/>
              <w:left w:type="dxa" w:w="110"/>
              <w:bottom w:type="dxa" w:w="70"/>
              <w:right w:type="dxa" w:w="110"/>
            </w:tcMar>
            <w:vAlign w:val="center"/>
          </w:tcPr>
          <w:p>
            <w:pPr>
              <w:keepNext w:val="false"/>
              <w:jc w:val="right"/>
            </w:pPr>
            <w:r>
              <w:rPr>
                <w:b/>
                <w:bCs/>
                <w:color w:val="14213D"/>
                <w:sz w:val="18"/>
                <w:szCs w:val="18"/>
              </w:rPr>
              <w:t xml:space="preserve">Expected</w:t>
            </w:r>
          </w:p>
        </w:tc>
        <w:tc>
          <w:tcPr>
            <w:tcW w:type="dxa" w:w="1524"/>
            <w:tcBorders>
              <w:top w:val="single" w:color="B8C4D6" w:sz="4"/>
              <w:left w:val="single" w:color="B8C4D6" w:sz="4"/>
              <w:bottom w:val="single" w:color="B8C4D6" w:sz="4"/>
              <w:right w:val="single" w:color="B8C4D6" w:sz="4"/>
            </w:tcBorders>
            <w:shd w:fill="E8EEF5" w:color="auto" w:val="clear"/>
            <w:tcMar>
              <w:top w:type="dxa" w:w="70"/>
              <w:left w:type="dxa" w:w="110"/>
              <w:bottom w:type="dxa" w:w="70"/>
              <w:right w:type="dxa" w:w="110"/>
            </w:tcMar>
            <w:vAlign w:val="center"/>
          </w:tcPr>
          <w:p>
            <w:pPr>
              <w:keepNext w:val="false"/>
              <w:jc w:val="right"/>
            </w:pPr>
            <w:r>
              <w:rPr>
                <w:b/>
                <w:bCs/>
                <w:color w:val="14213D"/>
                <w:sz w:val="18"/>
                <w:szCs w:val="18"/>
              </w:rPr>
              <w:t xml:space="preserve">Test</w:t>
            </w:r>
          </w:p>
        </w:tc>
        <w:tc>
          <w:tcPr>
            <w:tcW w:type="dxa" w:w="1524"/>
            <w:tcBorders>
              <w:top w:val="single" w:color="B8C4D6" w:sz="4"/>
              <w:left w:val="single" w:color="B8C4D6" w:sz="4"/>
              <w:bottom w:val="single" w:color="B8C4D6" w:sz="4"/>
              <w:right w:val="single" w:color="B8C4D6" w:sz="4"/>
            </w:tcBorders>
            <w:shd w:fill="E8EEF5" w:color="auto" w:val="clear"/>
            <w:tcMar>
              <w:top w:type="dxa" w:w="70"/>
              <w:left w:type="dxa" w:w="110"/>
              <w:bottom w:type="dxa" w:w="70"/>
              <w:right w:type="dxa" w:w="110"/>
            </w:tcMar>
            <w:vAlign w:val="center"/>
          </w:tcPr>
          <w:p>
            <w:pPr>
              <w:keepNext w:val="false"/>
              <w:jc w:val="right"/>
            </w:pPr>
            <w:r>
              <w:rPr>
                <w:b/>
                <w:bCs/>
                <w:color w:val="14213D"/>
                <w:sz w:val="18"/>
                <w:szCs w:val="18"/>
              </w:rPr>
              <w:t xml:space="preserve">Production</w:t>
            </w:r>
          </w:p>
        </w:tc>
      </w:tr>
      <w:tr>
        <w:trPr>
          <w:cantSplit/>
        </w:trPr>
        <w:tc>
          <w:tcPr>
            <w:tcW w:type="dxa" w:w="495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Service principals that obtain their CDF group</w:t>
            </w:r>
          </w:p>
        </w:tc>
        <w:tc>
          <w:tcPr>
            <w:tcW w:type="dxa" w:w="152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right"/>
            </w:pPr>
            <w:r>
              <w:rPr>
                <w:b w:val="false"/>
                <w:bCs w:val="false"/>
                <w:color w:val="2B2B2B"/>
                <w:sz w:val="18"/>
                <w:szCs w:val="18"/>
              </w:rPr>
              <w:t xml:space="preserve">3</w:t>
            </w:r>
          </w:p>
        </w:tc>
        <w:tc>
          <w:tcPr>
            <w:tcW w:type="dxa" w:w="152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right"/>
            </w:pPr>
            <w:r>
              <w:rPr>
                <w:b w:val="false"/>
                <w:bCs w:val="false"/>
                <w:color w:val="2B2B2B"/>
                <w:sz w:val="18"/>
                <w:szCs w:val="18"/>
              </w:rPr>
              <w:t xml:space="preserve">3</w:t>
            </w:r>
          </w:p>
        </w:tc>
        <w:tc>
          <w:tcPr>
            <w:tcW w:type="dxa" w:w="152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right"/>
            </w:pPr>
            <w:r>
              <w:rPr>
                <w:b w:val="false"/>
                <w:bCs w:val="false"/>
                <w:color w:val="2B2B2B"/>
                <w:sz w:val="18"/>
                <w:szCs w:val="18"/>
              </w:rPr>
              <w:t xml:space="preserve">3</w:t>
            </w:r>
          </w:p>
        </w:tc>
      </w:tr>
      <w:tr>
        <w:trPr>
          <w:cantSplit/>
        </w:trPr>
        <w:tc>
          <w:tcPr>
            <w:tcW w:type="dxa" w:w="495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RAW rows, with unique keys</w:t>
            </w:r>
          </w:p>
        </w:tc>
        <w:tc>
          <w:tcPr>
            <w:tcW w:type="dxa" w:w="152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right"/>
            </w:pPr>
            <w:r>
              <w:rPr>
                <w:b w:val="false"/>
                <w:bCs w:val="false"/>
                <w:color w:val="2B2B2B"/>
                <w:sz w:val="18"/>
                <w:szCs w:val="18"/>
              </w:rPr>
              <w:t xml:space="preserve">1,021</w:t>
            </w:r>
          </w:p>
        </w:tc>
        <w:tc>
          <w:tcPr>
            <w:tcW w:type="dxa" w:w="152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right"/>
            </w:pPr>
            <w:r>
              <w:rPr>
                <w:b w:val="false"/>
                <w:bCs w:val="false"/>
                <w:color w:val="2B2B2B"/>
                <w:sz w:val="18"/>
                <w:szCs w:val="18"/>
              </w:rPr>
              <w:t xml:space="preserve">1,021</w:t>
            </w:r>
          </w:p>
        </w:tc>
        <w:tc>
          <w:tcPr>
            <w:tcW w:type="dxa" w:w="152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right"/>
            </w:pPr>
            <w:r>
              <w:rPr>
                <w:b w:val="false"/>
                <w:bCs w:val="false"/>
                <w:color w:val="2B2B2B"/>
                <w:sz w:val="18"/>
                <w:szCs w:val="18"/>
              </w:rPr>
              <w:t xml:space="preserve">1,021</w:t>
            </w:r>
          </w:p>
        </w:tc>
      </w:tr>
      <w:tr>
        <w:trPr>
          <w:cantSplit/>
        </w:trPr>
        <w:tc>
          <w:tcPr>
            <w:tcW w:type="dxa" w:w="495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Assets created</w:t>
            </w:r>
          </w:p>
        </w:tc>
        <w:tc>
          <w:tcPr>
            <w:tcW w:type="dxa" w:w="152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right"/>
            </w:pPr>
            <w:r>
              <w:rPr>
                <w:b w:val="false"/>
                <w:bCs w:val="false"/>
                <w:color w:val="2B2B2B"/>
                <w:sz w:val="18"/>
                <w:szCs w:val="18"/>
              </w:rPr>
              <w:t xml:space="preserve">1,021</w:t>
            </w:r>
          </w:p>
        </w:tc>
        <w:tc>
          <w:tcPr>
            <w:tcW w:type="dxa" w:w="152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right"/>
            </w:pPr>
            <w:r>
              <w:rPr>
                <w:b w:val="false"/>
                <w:bCs w:val="false"/>
                <w:color w:val="2B2B2B"/>
                <w:sz w:val="18"/>
                <w:szCs w:val="18"/>
              </w:rPr>
              <w:t xml:space="preserve">1,021</w:t>
            </w:r>
          </w:p>
        </w:tc>
        <w:tc>
          <w:tcPr>
            <w:tcW w:type="dxa" w:w="152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right"/>
            </w:pPr>
            <w:r>
              <w:rPr>
                <w:b w:val="false"/>
                <w:bCs w:val="false"/>
                <w:color w:val="2B2B2B"/>
                <w:sz w:val="18"/>
                <w:szCs w:val="18"/>
              </w:rPr>
              <w:t xml:space="preserve">1,021</w:t>
            </w:r>
          </w:p>
        </w:tc>
      </w:tr>
      <w:tr>
        <w:trPr>
          <w:cantSplit/>
        </w:trPr>
        <w:tc>
          <w:tcPr>
            <w:tcW w:type="dxa" w:w="495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Root assets (the sites)</w:t>
            </w:r>
          </w:p>
        </w:tc>
        <w:tc>
          <w:tcPr>
            <w:tcW w:type="dxa" w:w="152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right"/>
            </w:pPr>
            <w:r>
              <w:rPr>
                <w:b w:val="false"/>
                <w:bCs w:val="false"/>
                <w:color w:val="2B2B2B"/>
                <w:sz w:val="18"/>
                <w:szCs w:val="18"/>
              </w:rPr>
              <w:t xml:space="preserve">10</w:t>
            </w:r>
          </w:p>
        </w:tc>
        <w:tc>
          <w:tcPr>
            <w:tcW w:type="dxa" w:w="152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right"/>
            </w:pPr>
            <w:r>
              <w:rPr>
                <w:b w:val="false"/>
                <w:bCs w:val="false"/>
                <w:color w:val="2B2B2B"/>
                <w:sz w:val="18"/>
                <w:szCs w:val="18"/>
              </w:rPr>
              <w:t xml:space="preserve">10</w:t>
            </w:r>
          </w:p>
        </w:tc>
        <w:tc>
          <w:tcPr>
            <w:tcW w:type="dxa" w:w="152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right"/>
            </w:pPr>
            <w:r>
              <w:rPr>
                <w:b w:val="false"/>
                <w:bCs w:val="false"/>
                <w:color w:val="2B2B2B"/>
                <w:sz w:val="18"/>
                <w:szCs w:val="18"/>
              </w:rPr>
              <w:t xml:space="preserve">10</w:t>
            </w:r>
          </w:p>
        </w:tc>
      </w:tr>
      <w:tr>
        <w:trPr>
          <w:cantSplit/>
        </w:trPr>
        <w:tc>
          <w:tcPr>
            <w:tcW w:type="dxa" w:w="495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Assets whose parent does not exist</w:t>
            </w:r>
          </w:p>
        </w:tc>
        <w:tc>
          <w:tcPr>
            <w:tcW w:type="dxa" w:w="152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right"/>
            </w:pPr>
            <w:r>
              <w:rPr>
                <w:b w:val="false"/>
                <w:bCs w:val="false"/>
                <w:color w:val="2B2B2B"/>
                <w:sz w:val="18"/>
                <w:szCs w:val="18"/>
              </w:rPr>
              <w:t xml:space="preserve">0</w:t>
            </w:r>
          </w:p>
        </w:tc>
        <w:tc>
          <w:tcPr>
            <w:tcW w:type="dxa" w:w="152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right"/>
            </w:pPr>
            <w:r>
              <w:rPr>
                <w:b w:val="false"/>
                <w:bCs w:val="false"/>
                <w:color w:val="2B2B2B"/>
                <w:sz w:val="18"/>
                <w:szCs w:val="18"/>
              </w:rPr>
              <w:t xml:space="preserve">0</w:t>
            </w:r>
          </w:p>
        </w:tc>
        <w:tc>
          <w:tcPr>
            <w:tcW w:type="dxa" w:w="152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right"/>
            </w:pPr>
            <w:r>
              <w:rPr>
                <w:b w:val="false"/>
                <w:bCs w:val="false"/>
                <w:color w:val="2B2B2B"/>
                <w:sz w:val="18"/>
                <w:szCs w:val="18"/>
              </w:rPr>
              <w:t xml:space="preserve">0</w:t>
            </w:r>
          </w:p>
        </w:tc>
      </w:tr>
      <w:tr>
        <w:trPr>
          <w:cantSplit/>
        </w:trPr>
        <w:tc>
          <w:tcPr>
            <w:tcW w:type="dxa" w:w="495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Assets with an incomplete </w:t>
            </w:r>
            <w:r>
              <w:rPr>
                <w:rFonts w:ascii="Consolas" w:cs="Consolas" w:eastAsia="Consolas" w:hAnsi="Consolas"/>
                <w:b w:val="false"/>
                <w:bCs w:val="false"/>
                <w:color w:val="2B2B2B"/>
                <w:sz w:val="17"/>
                <w:szCs w:val="17"/>
              </w:rPr>
              <w:t xml:space="preserve">path</w:t>
            </w:r>
            <w:r>
              <w:rPr>
                <w:b w:val="false"/>
                <w:bCs w:val="false"/>
                <w:color w:val="2B2B2B"/>
                <w:sz w:val="18"/>
                <w:szCs w:val="18"/>
              </w:rPr>
              <w:t xml:space="preserve">, before repair</w:t>
            </w:r>
          </w:p>
        </w:tc>
        <w:tc>
          <w:tcPr>
            <w:tcW w:type="dxa" w:w="152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right"/>
            </w:pPr>
            <w:r>
              <w:rPr>
                <w:b w:val="false"/>
                <w:bCs w:val="false"/>
                <w:color w:val="2B2B2B"/>
                <w:sz w:val="18"/>
                <w:szCs w:val="18"/>
              </w:rPr>
              <w:t xml:space="preserve">0</w:t>
            </w:r>
          </w:p>
        </w:tc>
        <w:tc>
          <w:tcPr>
            <w:tcW w:type="dxa" w:w="152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right"/>
            </w:pPr>
            <w:r>
              <w:rPr>
                <w:b w:val="false"/>
                <w:bCs w:val="false"/>
                <w:color w:val="2B2B2B"/>
                <w:sz w:val="18"/>
                <w:szCs w:val="18"/>
              </w:rPr>
              <w:t xml:space="preserve">182</w:t>
            </w:r>
          </w:p>
        </w:tc>
        <w:tc>
          <w:tcPr>
            <w:tcW w:type="dxa" w:w="152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right"/>
            </w:pPr>
            <w:r>
              <w:rPr>
                <w:b w:val="false"/>
                <w:bCs w:val="false"/>
                <w:color w:val="2B2B2B"/>
                <w:sz w:val="18"/>
                <w:szCs w:val="18"/>
              </w:rPr>
              <w:t xml:space="preserve">294</w:t>
            </w:r>
          </w:p>
        </w:tc>
      </w:tr>
      <w:tr>
        <w:trPr>
          <w:cantSplit/>
        </w:trPr>
        <w:tc>
          <w:tcPr>
            <w:tcW w:type="dxa" w:w="495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Assets with an incomplete </w:t>
            </w:r>
            <w:r>
              <w:rPr>
                <w:rFonts w:ascii="Consolas" w:cs="Consolas" w:eastAsia="Consolas" w:hAnsi="Consolas"/>
                <w:b w:val="false"/>
                <w:bCs w:val="false"/>
                <w:color w:val="2B2B2B"/>
                <w:sz w:val="17"/>
                <w:szCs w:val="17"/>
              </w:rPr>
              <w:t xml:space="preserve">path</w:t>
            </w:r>
            <w:r>
              <w:rPr>
                <w:b w:val="false"/>
                <w:bCs w:val="false"/>
                <w:color w:val="2B2B2B"/>
                <w:sz w:val="18"/>
                <w:szCs w:val="18"/>
              </w:rPr>
              <w:t xml:space="preserve">, after repair</w:t>
            </w:r>
          </w:p>
        </w:tc>
        <w:tc>
          <w:tcPr>
            <w:tcW w:type="dxa" w:w="152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right"/>
            </w:pPr>
            <w:r>
              <w:rPr>
                <w:b w:val="false"/>
                <w:bCs w:val="false"/>
                <w:color w:val="2B2B2B"/>
                <w:sz w:val="18"/>
                <w:szCs w:val="18"/>
              </w:rPr>
              <w:t xml:space="preserve">0</w:t>
            </w:r>
          </w:p>
        </w:tc>
        <w:tc>
          <w:tcPr>
            <w:tcW w:type="dxa" w:w="152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right"/>
            </w:pPr>
            <w:r>
              <w:rPr>
                <w:b w:val="false"/>
                <w:bCs w:val="false"/>
                <w:color w:val="2B2B2B"/>
                <w:sz w:val="18"/>
                <w:szCs w:val="18"/>
              </w:rPr>
              <w:t xml:space="preserve">0</w:t>
            </w:r>
          </w:p>
        </w:tc>
        <w:tc>
          <w:tcPr>
            <w:tcW w:type="dxa" w:w="152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right"/>
            </w:pPr>
            <w:r>
              <w:rPr>
                <w:b w:val="false"/>
                <w:bCs w:val="false"/>
                <w:color w:val="2B2B2B"/>
                <w:sz w:val="18"/>
                <w:szCs w:val="18"/>
              </w:rPr>
              <w:t xml:space="preserve">0</w:t>
            </w:r>
          </w:p>
        </w:tc>
      </w:tr>
      <w:tr>
        <w:trPr>
          <w:cantSplit/>
        </w:trPr>
        <w:tc>
          <w:tcPr>
            <w:tcW w:type="dxa" w:w="495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Time series linked to exactly one asset</w:t>
            </w:r>
          </w:p>
        </w:tc>
        <w:tc>
          <w:tcPr>
            <w:tcW w:type="dxa" w:w="152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right"/>
            </w:pPr>
            <w:r>
              <w:rPr>
                <w:b w:val="false"/>
                <w:bCs w:val="false"/>
                <w:color w:val="2B2B2B"/>
                <w:sz w:val="18"/>
                <w:szCs w:val="18"/>
              </w:rPr>
              <w:t xml:space="preserve">2,512</w:t>
            </w:r>
          </w:p>
        </w:tc>
        <w:tc>
          <w:tcPr>
            <w:tcW w:type="dxa" w:w="152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right"/>
            </w:pPr>
            <w:r>
              <w:rPr>
                <w:b w:val="false"/>
                <w:bCs w:val="false"/>
                <w:color w:val="2B2B2B"/>
                <w:sz w:val="18"/>
                <w:szCs w:val="18"/>
              </w:rPr>
              <w:t xml:space="preserve">2,512</w:t>
            </w:r>
          </w:p>
        </w:tc>
        <w:tc>
          <w:tcPr>
            <w:tcW w:type="dxa" w:w="152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right"/>
            </w:pPr>
            <w:r>
              <w:rPr>
                <w:b w:val="false"/>
                <w:bCs w:val="false"/>
                <w:color w:val="2B2B2B"/>
                <w:sz w:val="18"/>
                <w:szCs w:val="18"/>
              </w:rPr>
              <w:t xml:space="preserve">2,512</w:t>
            </w:r>
          </w:p>
        </w:tc>
      </w:tr>
      <w:tr>
        <w:trPr>
          <w:cantSplit/>
        </w:trPr>
        <w:tc>
          <w:tcPr>
            <w:tcW w:type="dxa" w:w="495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Links to a wrong or missing asset</w:t>
            </w:r>
          </w:p>
        </w:tc>
        <w:tc>
          <w:tcPr>
            <w:tcW w:type="dxa" w:w="152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right"/>
            </w:pPr>
            <w:r>
              <w:rPr>
                <w:b w:val="false"/>
                <w:bCs w:val="false"/>
                <w:color w:val="2B2B2B"/>
                <w:sz w:val="18"/>
                <w:szCs w:val="18"/>
              </w:rPr>
              <w:t xml:space="preserve">0</w:t>
            </w:r>
          </w:p>
        </w:tc>
        <w:tc>
          <w:tcPr>
            <w:tcW w:type="dxa" w:w="152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right"/>
            </w:pPr>
            <w:r>
              <w:rPr>
                <w:b w:val="false"/>
                <w:bCs w:val="false"/>
                <w:color w:val="2B2B2B"/>
                <w:sz w:val="18"/>
                <w:szCs w:val="18"/>
              </w:rPr>
              <w:t xml:space="preserve">0</w:t>
            </w:r>
          </w:p>
        </w:tc>
        <w:tc>
          <w:tcPr>
            <w:tcW w:type="dxa" w:w="152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right"/>
            </w:pPr>
            <w:r>
              <w:rPr>
                <w:b w:val="false"/>
                <w:bCs w:val="false"/>
                <w:color w:val="2B2B2B"/>
                <w:sz w:val="18"/>
                <w:szCs w:val="18"/>
              </w:rPr>
              <w:t xml:space="preserve">0</w:t>
            </w:r>
          </w:p>
        </w:tc>
      </w:tr>
      <w:tr>
        <w:trPr>
          <w:cantSplit/>
        </w:trPr>
        <w:tc>
          <w:tcPr>
            <w:tcW w:type="dxa" w:w="495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Measured series containing values</w:t>
            </w:r>
          </w:p>
        </w:tc>
        <w:tc>
          <w:tcPr>
            <w:tcW w:type="dxa" w:w="152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right"/>
            </w:pPr>
            <w:r>
              <w:rPr>
                <w:b w:val="false"/>
                <w:bCs w:val="false"/>
                <w:color w:val="2B2B2B"/>
                <w:sz w:val="18"/>
                <w:szCs w:val="18"/>
              </w:rPr>
              <w:t xml:space="preserve">2,512</w:t>
            </w:r>
          </w:p>
        </w:tc>
        <w:tc>
          <w:tcPr>
            <w:tcW w:type="dxa" w:w="152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right"/>
            </w:pPr>
            <w:r>
              <w:rPr>
                <w:b w:val="false"/>
                <w:bCs w:val="false"/>
                <w:color w:val="2B2B2B"/>
                <w:sz w:val="18"/>
                <w:szCs w:val="18"/>
              </w:rPr>
              <w:t xml:space="preserve">2,512</w:t>
            </w:r>
          </w:p>
        </w:tc>
        <w:tc>
          <w:tcPr>
            <w:tcW w:type="dxa" w:w="152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right"/>
            </w:pPr>
            <w:r>
              <w:rPr>
                <w:b w:val="false"/>
                <w:bCs w:val="false"/>
                <w:color w:val="2B2B2B"/>
                <w:sz w:val="18"/>
                <w:szCs w:val="18"/>
              </w:rPr>
              <w:t xml:space="preserve">2,512</w:t>
            </w:r>
          </w:p>
        </w:tc>
      </w:tr>
      <w:tr>
        <w:trPr>
          <w:cantSplit/>
        </w:trPr>
        <w:tc>
          <w:tcPr>
            <w:tcW w:type="dxa" w:w="495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OEE series containing a full history</w:t>
            </w:r>
          </w:p>
        </w:tc>
        <w:tc>
          <w:tcPr>
            <w:tcW w:type="dxa" w:w="152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right"/>
            </w:pPr>
            <w:r>
              <w:rPr>
                <w:b w:val="false"/>
                <w:bCs w:val="false"/>
                <w:color w:val="2B2B2B"/>
                <w:sz w:val="18"/>
                <w:szCs w:val="18"/>
              </w:rPr>
              <w:t xml:space="preserve">3,140</w:t>
            </w:r>
          </w:p>
        </w:tc>
        <w:tc>
          <w:tcPr>
            <w:tcW w:type="dxa" w:w="152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right"/>
            </w:pPr>
            <w:r>
              <w:rPr>
                <w:b w:val="false"/>
                <w:bCs w:val="false"/>
                <w:color w:val="2B2B2B"/>
                <w:sz w:val="18"/>
                <w:szCs w:val="18"/>
              </w:rPr>
              <w:t xml:space="preserve">3,140</w:t>
            </w:r>
          </w:p>
        </w:tc>
        <w:tc>
          <w:tcPr>
            <w:tcW w:type="dxa" w:w="152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right"/>
            </w:pPr>
            <w:r>
              <w:rPr>
                <w:b w:val="false"/>
                <w:bCs w:val="false"/>
                <w:color w:val="2B2B2B"/>
                <w:sz w:val="18"/>
                <w:szCs w:val="18"/>
              </w:rPr>
              <w:t xml:space="preserve">3,140</w:t>
            </w:r>
          </w:p>
        </w:tc>
      </w:tr>
      <w:tr>
        <w:trPr>
          <w:cantSplit/>
        </w:trPr>
        <w:tc>
          <w:tcPr>
            <w:tcW w:type="dxa" w:w="495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Workflow tasks succeeded on first execution</w:t>
            </w:r>
          </w:p>
        </w:tc>
        <w:tc>
          <w:tcPr>
            <w:tcW w:type="dxa" w:w="152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right"/>
            </w:pPr>
            <w:r>
              <w:rPr>
                <w:b w:val="false"/>
                <w:bCs w:val="false"/>
                <w:color w:val="2B2B2B"/>
                <w:sz w:val="18"/>
                <w:szCs w:val="18"/>
              </w:rPr>
              <w:t xml:space="preserve">4</w:t>
            </w:r>
          </w:p>
        </w:tc>
        <w:tc>
          <w:tcPr>
            <w:tcW w:type="dxa" w:w="152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right"/>
            </w:pPr>
            <w:r>
              <w:rPr>
                <w:b w:val="false"/>
                <w:bCs w:val="false"/>
                <w:color w:val="2B2B2B"/>
                <w:sz w:val="18"/>
                <w:szCs w:val="18"/>
              </w:rPr>
              <w:t xml:space="preserve">4</w:t>
            </w:r>
          </w:p>
        </w:tc>
        <w:tc>
          <w:tcPr>
            <w:tcW w:type="dxa" w:w="152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right"/>
            </w:pPr>
            <w:r>
              <w:rPr>
                <w:b w:val="false"/>
                <w:bCs w:val="false"/>
                <w:color w:val="2B2B2B"/>
                <w:sz w:val="18"/>
                <w:szCs w:val="18"/>
              </w:rPr>
              <w:t xml:space="preserve">4</w:t>
            </w:r>
          </w:p>
        </w:tc>
      </w:tr>
    </w:tbl>
    <w:p>
      <w:pPr>
        <w:spacing w:after="160" w:before="80"/>
        <w:rPr>
          <w:i/>
          <w:iCs/>
          <w:color w:val="5F6B7A"/>
          <w:sz w:val="18"/>
          <w:szCs w:val="18"/>
        </w:rPr>
      </w:pPr>
      <w:r>
        <w:rPr>
          <w:i/>
          <w:iCs/>
          <w:color w:val="5F6B7A"/>
          <w:sz w:val="18"/>
          <w:szCs w:val="18"/>
        </w:rPr>
        <w:t xml:space="preserve">Known limitation of the supplied OEE code: for each unit the calculation stops at the oldest of the latest points of its four input series. Because the two status series only record changes of state, the OEE series of a unit can end several days before the present. This is a property of the bootcamp code, not a loading fault. In production, one workflow task succeeded on its second attempt because two executions overlapped.</w:t>
      </w:r>
    </w:p>
    <w:p>
      <w:pPr>
        <w:pStyle w:val="Heading2"/>
      </w:pPr>
      <w:r>
        <w:t xml:space="preserve">4.5 What the data shows</w:t>
      </w:r>
    </w:p>
    <w:p>
      <w:pPr>
        <w:keepNext/>
        <w:spacing w:after="120" w:line="288"/>
      </w:pPr>
      <w:r>
        <w:t xml:space="preserve">The Canvas exercise asks why the OEE of one machine drops. Reading the series of the Oslo Balance Tank (OSPRPATA241) minute by minute over 15 days, and crossing them with the machine state, gives a clear answer:</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2096"/>
        <w:gridCol w:w="1238"/>
        <w:gridCol w:w="1238"/>
        <w:gridCol w:w="4954"/>
      </w:tblGrid>
      <w:tr>
        <w:trPr>
          <w:tblHeader/>
        </w:trPr>
        <w:tc>
          <w:tcPr>
            <w:tcW w:type="dxa" w:w="2096"/>
            <w:tcBorders>
              <w:top w:val="single" w:color="B8C4D6" w:sz="4"/>
              <w:left w:val="single" w:color="B8C4D6" w:sz="4"/>
              <w:bottom w:val="single" w:color="B8C4D6" w:sz="4"/>
              <w:right w:val="single" w:color="B8C4D6" w:sz="4"/>
            </w:tcBorders>
            <w:shd w:fill="E8EEF5" w:color="auto" w:val="clear"/>
            <w:tcMar>
              <w:top w:type="dxa" w:w="70"/>
              <w:left w:type="dxa" w:w="110"/>
              <w:bottom w:type="dxa" w:w="70"/>
              <w:right w:type="dxa" w:w="110"/>
            </w:tcMar>
            <w:vAlign w:val="center"/>
          </w:tcPr>
          <w:p>
            <w:pPr>
              <w:keepNext/>
              <w:jc w:val="left"/>
            </w:pPr>
            <w:r>
              <w:rPr>
                <w:b/>
                <w:bCs/>
                <w:color w:val="14213D"/>
                <w:sz w:val="18"/>
                <w:szCs w:val="18"/>
              </w:rPr>
              <w:t xml:space="preserve">Phenomenon</w:t>
            </w:r>
          </w:p>
        </w:tc>
        <w:tc>
          <w:tcPr>
            <w:tcW w:type="dxa" w:w="1238"/>
            <w:tcBorders>
              <w:top w:val="single" w:color="B8C4D6" w:sz="4"/>
              <w:left w:val="single" w:color="B8C4D6" w:sz="4"/>
              <w:bottom w:val="single" w:color="B8C4D6" w:sz="4"/>
              <w:right w:val="single" w:color="B8C4D6" w:sz="4"/>
            </w:tcBorders>
            <w:shd w:fill="E8EEF5" w:color="auto" w:val="clear"/>
            <w:tcMar>
              <w:top w:type="dxa" w:w="70"/>
              <w:left w:type="dxa" w:w="110"/>
              <w:bottom w:type="dxa" w:w="70"/>
              <w:right w:type="dxa" w:w="110"/>
            </w:tcMar>
            <w:vAlign w:val="center"/>
          </w:tcPr>
          <w:p>
            <w:pPr>
              <w:keepNext/>
              <w:jc w:val="right"/>
            </w:pPr>
            <w:r>
              <w:rPr>
                <w:b/>
                <w:bCs/>
                <w:color w:val="14213D"/>
                <w:sz w:val="18"/>
                <w:szCs w:val="18"/>
              </w:rPr>
              <w:t xml:space="preserve">Occurrences</w:t>
            </w:r>
          </w:p>
        </w:tc>
        <w:tc>
          <w:tcPr>
            <w:tcW w:type="dxa" w:w="1238"/>
            <w:tcBorders>
              <w:top w:val="single" w:color="B8C4D6" w:sz="4"/>
              <w:left w:val="single" w:color="B8C4D6" w:sz="4"/>
              <w:bottom w:val="single" w:color="B8C4D6" w:sz="4"/>
              <w:right w:val="single" w:color="B8C4D6" w:sz="4"/>
            </w:tcBorders>
            <w:shd w:fill="E8EEF5" w:color="auto" w:val="clear"/>
            <w:tcMar>
              <w:top w:type="dxa" w:w="70"/>
              <w:left w:type="dxa" w:w="110"/>
              <w:bottom w:type="dxa" w:w="70"/>
              <w:right w:type="dxa" w:w="110"/>
            </w:tcMar>
            <w:vAlign w:val="center"/>
          </w:tcPr>
          <w:p>
            <w:pPr>
              <w:keepNext/>
              <w:jc w:val="right"/>
            </w:pPr>
            <w:r>
              <w:rPr>
                <w:b/>
                <w:bCs/>
                <w:color w:val="14213D"/>
                <w:sz w:val="18"/>
                <w:szCs w:val="18"/>
              </w:rPr>
              <w:t xml:space="preserve">Duration</w:t>
            </w:r>
          </w:p>
        </w:tc>
        <w:tc>
          <w:tcPr>
            <w:tcW w:type="dxa" w:w="4954"/>
            <w:tcBorders>
              <w:top w:val="single" w:color="B8C4D6" w:sz="4"/>
              <w:left w:val="single" w:color="B8C4D6" w:sz="4"/>
              <w:bottom w:val="single" w:color="B8C4D6" w:sz="4"/>
              <w:right w:val="single" w:color="B8C4D6" w:sz="4"/>
            </w:tcBorders>
            <w:shd w:fill="E8EEF5" w:color="auto" w:val="clear"/>
            <w:tcMar>
              <w:top w:type="dxa" w:w="70"/>
              <w:left w:type="dxa" w:w="110"/>
              <w:bottom w:type="dxa" w:w="70"/>
              <w:right w:type="dxa" w:w="110"/>
            </w:tcMar>
            <w:vAlign w:val="center"/>
          </w:tcPr>
          <w:p>
            <w:pPr>
              <w:keepNext/>
              <w:jc w:val="left"/>
            </w:pPr>
            <w:r>
              <w:rPr>
                <w:b/>
                <w:bCs/>
                <w:color w:val="14213D"/>
                <w:sz w:val="18"/>
                <w:szCs w:val="18"/>
              </w:rPr>
              <w:t xml:space="preserve">Signature in the series</w:t>
            </w:r>
          </w:p>
        </w:tc>
      </w:tr>
      <w:tr>
        <w:trPr>
          <w:cantSplit/>
        </w:trPr>
        <w:tc>
          <w:tcPr>
            <w:tcW w:type="dxa" w:w="2096"/>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b w:val="false"/>
                <w:bCs w:val="false"/>
                <w:color w:val="2B2B2B"/>
                <w:sz w:val="18"/>
                <w:szCs w:val="18"/>
              </w:rPr>
              <w:t xml:space="preserve">Planned stop</w:t>
            </w:r>
          </w:p>
        </w:tc>
        <w:tc>
          <w:tcPr>
            <w:tcW w:type="dxa" w:w="1238"/>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right"/>
            </w:pPr>
            <w:r>
              <w:rPr>
                <w:b w:val="false"/>
                <w:bCs w:val="false"/>
                <w:color w:val="2B2B2B"/>
                <w:sz w:val="18"/>
                <w:szCs w:val="18"/>
              </w:rPr>
              <w:t xml:space="preserve">15</w:t>
            </w:r>
          </w:p>
        </w:tc>
        <w:tc>
          <w:tcPr>
            <w:tcW w:type="dxa" w:w="1238"/>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right"/>
            </w:pPr>
            <w:r>
              <w:rPr>
                <w:b w:val="false"/>
                <w:bCs w:val="false"/>
                <w:color w:val="2B2B2B"/>
                <w:sz w:val="18"/>
                <w:szCs w:val="18"/>
              </w:rPr>
              <w:t xml:space="preserve">994 min</w:t>
            </w:r>
          </w:p>
        </w:tc>
        <w:tc>
          <w:tcPr>
            <w:tcW w:type="dxa" w:w="495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rFonts w:ascii="Consolas" w:cs="Consolas" w:eastAsia="Consolas" w:hAnsi="Consolas"/>
                <w:b w:val="false"/>
                <w:bCs w:val="false"/>
                <w:color w:val="2B2B2B"/>
                <w:sz w:val="17"/>
                <w:szCs w:val="17"/>
              </w:rPr>
              <w:t xml:space="preserve">status</w:t>
            </w:r>
            <w:r>
              <w:rPr>
                <w:b w:val="false"/>
                <w:bCs w:val="false"/>
                <w:color w:val="2B2B2B"/>
                <w:sz w:val="18"/>
                <w:szCs w:val="18"/>
              </w:rPr>
              <w:t xml:space="preserve"> = 0 and </w:t>
            </w:r>
            <w:r>
              <w:rPr>
                <w:rFonts w:ascii="Consolas" w:cs="Consolas" w:eastAsia="Consolas" w:hAnsi="Consolas"/>
                <w:b w:val="false"/>
                <w:bCs w:val="false"/>
                <w:color w:val="2B2B2B"/>
                <w:sz w:val="17"/>
                <w:szCs w:val="17"/>
              </w:rPr>
              <w:t xml:space="preserve">planned_status</w:t>
            </w:r>
            <w:r>
              <w:rPr>
                <w:b w:val="false"/>
                <w:bCs w:val="false"/>
                <w:color w:val="2B2B2B"/>
                <w:sz w:val="18"/>
                <w:szCs w:val="18"/>
              </w:rPr>
              <w:t xml:space="preserve"> = 0; OEE and its three components fall to 0 together</w:t>
            </w:r>
          </w:p>
        </w:tc>
      </w:tr>
      <w:tr>
        <w:trPr>
          <w:cantSplit/>
        </w:trPr>
        <w:tc>
          <w:tcPr>
            <w:tcW w:type="dxa" w:w="2096"/>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b w:val="false"/>
                <w:bCs w:val="false"/>
                <w:color w:val="2B2B2B"/>
                <w:sz w:val="18"/>
                <w:szCs w:val="18"/>
              </w:rPr>
              <w:t xml:space="preserve">Unplanned stop</w:t>
            </w:r>
          </w:p>
        </w:tc>
        <w:tc>
          <w:tcPr>
            <w:tcW w:type="dxa" w:w="1238"/>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right"/>
            </w:pPr>
            <w:r>
              <w:rPr>
                <w:b w:val="false"/>
                <w:bCs w:val="false"/>
                <w:color w:val="2B2B2B"/>
                <w:sz w:val="18"/>
                <w:szCs w:val="18"/>
              </w:rPr>
              <w:t xml:space="preserve">13</w:t>
            </w:r>
          </w:p>
        </w:tc>
        <w:tc>
          <w:tcPr>
            <w:tcW w:type="dxa" w:w="1238"/>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right"/>
            </w:pPr>
            <w:r>
              <w:rPr>
                <w:b w:val="false"/>
                <w:bCs w:val="false"/>
                <w:color w:val="2B2B2B"/>
                <w:sz w:val="18"/>
                <w:szCs w:val="18"/>
              </w:rPr>
              <w:t xml:space="preserve">1,007 min</w:t>
            </w:r>
          </w:p>
        </w:tc>
        <w:tc>
          <w:tcPr>
            <w:tcW w:type="dxa" w:w="495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rFonts w:ascii="Consolas" w:cs="Consolas" w:eastAsia="Consolas" w:hAnsi="Consolas"/>
                <w:b w:val="false"/>
                <w:bCs w:val="false"/>
                <w:color w:val="2B2B2B"/>
                <w:sz w:val="17"/>
                <w:szCs w:val="17"/>
              </w:rPr>
              <w:t xml:space="preserve">status</w:t>
            </w:r>
            <w:r>
              <w:rPr>
                <w:b w:val="false"/>
                <w:bCs w:val="false"/>
                <w:color w:val="2B2B2B"/>
                <w:sz w:val="18"/>
                <w:szCs w:val="18"/>
              </w:rPr>
              <w:t xml:space="preserve"> = 0 while </w:t>
            </w:r>
            <w:r>
              <w:rPr>
                <w:rFonts w:ascii="Consolas" w:cs="Consolas" w:eastAsia="Consolas" w:hAnsi="Consolas"/>
                <w:b w:val="false"/>
                <w:bCs w:val="false"/>
                <w:color w:val="2B2B2B"/>
                <w:sz w:val="17"/>
                <w:szCs w:val="17"/>
              </w:rPr>
              <w:t xml:space="preserve">planned_status</w:t>
            </w:r>
            <w:r>
              <w:rPr>
                <w:b w:val="false"/>
                <w:bCs w:val="false"/>
                <w:color w:val="2B2B2B"/>
                <w:sz w:val="18"/>
                <w:szCs w:val="18"/>
              </w:rPr>
              <w:t xml:space="preserve"> = 1; the real availability loss</w:t>
            </w:r>
          </w:p>
        </w:tc>
      </w:tr>
      <w:tr>
        <w:trPr>
          <w:cantSplit/>
        </w:trPr>
        <w:tc>
          <w:tcPr>
            <w:tcW w:type="dxa" w:w="2096"/>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Quality dip while running</w:t>
            </w:r>
          </w:p>
        </w:tc>
        <w:tc>
          <w:tcPr>
            <w:tcW w:type="dxa" w:w="1238"/>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right"/>
            </w:pPr>
            <w:r>
              <w:rPr>
                <w:b w:val="false"/>
                <w:bCs w:val="false"/>
                <w:color w:val="2B2B2B"/>
                <w:sz w:val="18"/>
                <w:szCs w:val="18"/>
              </w:rPr>
              <w:t xml:space="preserve">62</w:t>
            </w:r>
          </w:p>
        </w:tc>
        <w:tc>
          <w:tcPr>
            <w:tcW w:type="dxa" w:w="1238"/>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right"/>
            </w:pPr>
            <w:r>
              <w:rPr>
                <w:b w:val="false"/>
                <w:bCs w:val="false"/>
                <w:color w:val="2B2B2B"/>
                <w:sz w:val="18"/>
                <w:szCs w:val="18"/>
              </w:rPr>
              <w:t xml:space="preserve">312 min</w:t>
            </w:r>
          </w:p>
        </w:tc>
        <w:tc>
          <w:tcPr>
            <w:tcW w:type="dxa" w:w="495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Quality at 0.71 instead of 0.95 for about 7 minutes, at the same times every day; performance steady at 0.97</w:t>
            </w:r>
          </w:p>
        </w:tc>
      </w:tr>
    </w:tbl>
    <w:p>
      <w:pPr>
        <w:spacing w:after="160" w:before="80"/>
        <w:rPr>
          <w:i/>
          <w:iCs/>
          <w:color w:val="5F6B7A"/>
          <w:sz w:val="18"/>
          <w:szCs w:val="18"/>
        </w:rPr>
      </w:pPr>
      <w:r>
        <w:rPr>
          <w:i/>
          <w:iCs/>
          <w:color w:val="5F6B7A"/>
          <w:sz w:val="18"/>
          <w:szCs w:val="18"/>
        </w:rPr>
        <w:t xml:space="preserve">OEE is zero for 10.8% of the time, always with the machine stopped: about one planned and one unplanned stop per day. The supplied calculation also counts planned stops as zero OEE, because a division by zero is replaced by 0; a standard OEE definition excludes them, which would put the average for this unit at about 0.87 instead of 0.83. The recalculation of OEE in Charts gave the same mean as the function (0.828) over the period displayed. Screenshots of the chart, the calculation, the alert and the canvas are in Appendix C (figures 8 to 14).</w:t>
      </w:r>
    </w:p>
    <w:p>
      <w:pPr>
        <w:pStyle w:val="Heading1"/>
      </w:pPr>
      <w:r>
        <w:t xml:space="preserve">5. Access and security model</w:t>
      </w:r>
    </w:p>
    <w:p>
      <w:pPr>
        <w:keepNext/>
        <w:spacing w:after="120" w:line="288"/>
      </w:pPr>
      <w:r>
        <w:t xml:space="preserve">Identity is managed in Microsoft Entra ID and rights in CDF; the Object ID of an Entra group, copied into a CDF group as its </w:t>
      </w:r>
      <w:r>
        <w:rPr>
          <w:rFonts w:ascii="Consolas" w:cs="Consolas" w:eastAsia="Consolas" w:hAnsi="Consolas"/>
          <w:sz w:val="20"/>
          <w:szCs w:val="20"/>
        </w:rPr>
        <w:t xml:space="preserve">sourceId</w:t>
      </w:r>
      <w:r>
        <w:t xml:space="preserve">, is the only link between the two. Three service principals exist per environment, each a member of one Entra group:</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1524"/>
        <w:gridCol w:w="2858"/>
        <w:gridCol w:w="3048"/>
        <w:gridCol w:w="2096"/>
      </w:tblGrid>
      <w:tr>
        <w:trPr>
          <w:tblHeader/>
        </w:trPr>
        <w:tc>
          <w:tcPr>
            <w:tcW w:type="dxa" w:w="1524"/>
            <w:tcBorders>
              <w:top w:val="single" w:color="B8C4D6" w:sz="4"/>
              <w:left w:val="single" w:color="B8C4D6" w:sz="4"/>
              <w:bottom w:val="single" w:color="B8C4D6" w:sz="4"/>
              <w:right w:val="single" w:color="B8C4D6" w:sz="4"/>
            </w:tcBorders>
            <w:shd w:fill="E8EEF5" w:color="auto" w:val="clear"/>
            <w:tcMar>
              <w:top w:type="dxa" w:w="70"/>
              <w:left w:type="dxa" w:w="110"/>
              <w:bottom w:type="dxa" w:w="70"/>
              <w:right w:type="dxa" w:w="110"/>
            </w:tcMar>
            <w:vAlign w:val="center"/>
          </w:tcPr>
          <w:p>
            <w:pPr>
              <w:keepNext/>
              <w:jc w:val="left"/>
            </w:pPr>
            <w:r>
              <w:rPr>
                <w:b/>
                <w:bCs/>
                <w:color w:val="14213D"/>
                <w:sz w:val="18"/>
                <w:szCs w:val="18"/>
              </w:rPr>
              <w:t xml:space="preserve">Role</w:t>
            </w:r>
          </w:p>
        </w:tc>
        <w:tc>
          <w:tcPr>
            <w:tcW w:type="dxa" w:w="2858"/>
            <w:tcBorders>
              <w:top w:val="single" w:color="B8C4D6" w:sz="4"/>
              <w:left w:val="single" w:color="B8C4D6" w:sz="4"/>
              <w:bottom w:val="single" w:color="B8C4D6" w:sz="4"/>
              <w:right w:val="single" w:color="B8C4D6" w:sz="4"/>
            </w:tcBorders>
            <w:shd w:fill="E8EEF5" w:color="auto" w:val="clear"/>
            <w:tcMar>
              <w:top w:type="dxa" w:w="70"/>
              <w:left w:type="dxa" w:w="110"/>
              <w:bottom w:type="dxa" w:w="70"/>
              <w:right w:type="dxa" w:w="110"/>
            </w:tcMar>
            <w:vAlign w:val="center"/>
          </w:tcPr>
          <w:p>
            <w:pPr>
              <w:keepNext/>
              <w:jc w:val="left"/>
            </w:pPr>
            <w:r>
              <w:rPr>
                <w:b/>
                <w:bCs/>
                <w:color w:val="14213D"/>
                <w:sz w:val="18"/>
                <w:szCs w:val="18"/>
              </w:rPr>
              <w:t xml:space="preserve">CDF group</w:t>
            </w:r>
          </w:p>
        </w:tc>
        <w:tc>
          <w:tcPr>
            <w:tcW w:type="dxa" w:w="3048"/>
            <w:tcBorders>
              <w:top w:val="single" w:color="B8C4D6" w:sz="4"/>
              <w:left w:val="single" w:color="B8C4D6" w:sz="4"/>
              <w:bottom w:val="single" w:color="B8C4D6" w:sz="4"/>
              <w:right w:val="single" w:color="B8C4D6" w:sz="4"/>
            </w:tcBorders>
            <w:shd w:fill="E8EEF5" w:color="auto" w:val="clear"/>
            <w:tcMar>
              <w:top w:type="dxa" w:w="70"/>
              <w:left w:type="dxa" w:w="110"/>
              <w:bottom w:type="dxa" w:w="70"/>
              <w:right w:type="dxa" w:w="110"/>
            </w:tcMar>
            <w:vAlign w:val="center"/>
          </w:tcPr>
          <w:p>
            <w:pPr>
              <w:keepNext/>
              <w:jc w:val="left"/>
            </w:pPr>
            <w:r>
              <w:rPr>
                <w:b/>
                <w:bCs/>
                <w:color w:val="14213D"/>
                <w:sz w:val="18"/>
                <w:szCs w:val="18"/>
              </w:rPr>
              <w:t xml:space="preserve">Used for</w:t>
            </w:r>
          </w:p>
        </w:tc>
        <w:tc>
          <w:tcPr>
            <w:tcW w:type="dxa" w:w="2096"/>
            <w:tcBorders>
              <w:top w:val="single" w:color="B8C4D6" w:sz="4"/>
              <w:left w:val="single" w:color="B8C4D6" w:sz="4"/>
              <w:bottom w:val="single" w:color="B8C4D6" w:sz="4"/>
              <w:right w:val="single" w:color="B8C4D6" w:sz="4"/>
            </w:tcBorders>
            <w:shd w:fill="E8EEF5" w:color="auto" w:val="clear"/>
            <w:tcMar>
              <w:top w:type="dxa" w:w="70"/>
              <w:left w:type="dxa" w:w="110"/>
              <w:bottom w:type="dxa" w:w="70"/>
              <w:right w:type="dxa" w:w="110"/>
            </w:tcMar>
            <w:vAlign w:val="center"/>
          </w:tcPr>
          <w:p>
            <w:pPr>
              <w:keepNext/>
              <w:jc w:val="left"/>
            </w:pPr>
            <w:r>
              <w:rPr>
                <w:b/>
                <w:bCs/>
                <w:color w:val="14213D"/>
                <w:sz w:val="18"/>
                <w:szCs w:val="18"/>
              </w:rPr>
              <w:t xml:space="preserve">Scope of rights</w:t>
            </w:r>
          </w:p>
        </w:tc>
      </w:tr>
      <w:tr>
        <w:trPr>
          <w:cantSplit/>
        </w:trPr>
        <w:tc>
          <w:tcPr>
            <w:tcW w:type="dxa" w:w="152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b w:val="false"/>
                <w:bCs w:val="false"/>
                <w:color w:val="2B2B2B"/>
                <w:sz w:val="18"/>
                <w:szCs w:val="18"/>
              </w:rPr>
              <w:t xml:space="preserve">Deployment</w:t>
            </w:r>
          </w:p>
        </w:tc>
        <w:tc>
          <w:tcPr>
            <w:tcW w:type="dxa" w:w="2858"/>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rFonts w:ascii="Consolas" w:cs="Consolas" w:eastAsia="Consolas" w:hAnsi="Consolas"/>
                <w:b w:val="false"/>
                <w:bCs w:val="false"/>
                <w:color w:val="2B2B2B"/>
                <w:sz w:val="17"/>
                <w:szCs w:val="17"/>
              </w:rPr>
              <w:t xml:space="preserve">cognite_toolkit_service_principal</w:t>
            </w:r>
          </w:p>
        </w:tc>
        <w:tc>
          <w:tcPr>
            <w:tcW w:type="dxa" w:w="3048"/>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b w:val="false"/>
                <w:bCs w:val="false"/>
                <w:color w:val="2B2B2B"/>
                <w:sz w:val="18"/>
                <w:szCs w:val="18"/>
              </w:rPr>
              <w:t xml:space="preserve">Deploying all configuration with the Toolkit</w:t>
            </w:r>
          </w:p>
        </w:tc>
        <w:tc>
          <w:tcPr>
            <w:tcW w:type="dxa" w:w="2096"/>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b w:val="false"/>
                <w:bCs w:val="false"/>
                <w:color w:val="2B2B2B"/>
                <w:sz w:val="18"/>
                <w:szCs w:val="18"/>
              </w:rPr>
              <w:t xml:space="preserve">All resource types</w:t>
            </w:r>
          </w:p>
        </w:tc>
      </w:tr>
      <w:tr>
        <w:trPr>
          <w:cantSplit/>
        </w:trPr>
        <w:tc>
          <w:tcPr>
            <w:tcW w:type="dxa" w:w="152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b w:val="false"/>
                <w:bCs w:val="false"/>
                <w:color w:val="2B2B2B"/>
                <w:sz w:val="18"/>
                <w:szCs w:val="18"/>
              </w:rPr>
              <w:t xml:space="preserve">Extraction</w:t>
            </w:r>
          </w:p>
        </w:tc>
        <w:tc>
          <w:tcPr>
            <w:tcW w:type="dxa" w:w="2858"/>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rFonts w:ascii="Consolas" w:cs="Consolas" w:eastAsia="Consolas" w:hAnsi="Consolas"/>
                <w:b w:val="false"/>
                <w:bCs w:val="false"/>
                <w:color w:val="2B2B2B"/>
                <w:sz w:val="17"/>
                <w:szCs w:val="17"/>
              </w:rPr>
              <w:t xml:space="preserve">icapi_extractors</w:t>
            </w:r>
          </w:p>
        </w:tc>
        <w:tc>
          <w:tcPr>
            <w:tcW w:type="dxa" w:w="3048"/>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b w:val="false"/>
                <w:bCs w:val="false"/>
                <w:color w:val="2B2B2B"/>
                <w:sz w:val="18"/>
                <w:szCs w:val="18"/>
              </w:rPr>
              <w:t xml:space="preserve">Hosted extractors, transformations, functions and the workflow trigger</w:t>
            </w:r>
          </w:p>
        </w:tc>
        <w:tc>
          <w:tcPr>
            <w:tcW w:type="dxa" w:w="2096"/>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b w:val="false"/>
                <w:bCs w:val="false"/>
                <w:color w:val="2B2B2B"/>
                <w:sz w:val="18"/>
                <w:szCs w:val="18"/>
              </w:rPr>
              <w:t xml:space="preserve">Scoped to the source data set and the RAW table </w:t>
            </w:r>
            <w:r>
              <w:rPr>
                <w:rFonts w:ascii="Consolas" w:cs="Consolas" w:eastAsia="Consolas" w:hAnsi="Consolas"/>
                <w:b w:val="false"/>
                <w:bCs w:val="false"/>
                <w:color w:val="2B2B2B"/>
                <w:sz w:val="17"/>
                <w:szCs w:val="17"/>
              </w:rPr>
              <w:t xml:space="preserve">assets</w:t>
            </w:r>
            <w:r>
              <w:rPr>
                <w:b w:val="false"/>
                <w:bCs w:val="false"/>
                <w:color w:val="2B2B2B"/>
                <w:sz w:val="18"/>
                <w:szCs w:val="18"/>
              </w:rPr>
              <w:t xml:space="preserve"> where the platform allows</w:t>
            </w:r>
          </w:p>
        </w:tc>
      </w:tr>
      <w:tr>
        <w:trPr>
          <w:cantSplit/>
        </w:trPr>
        <w:tc>
          <w:tcPr>
            <w:tcW w:type="dxa" w:w="152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b w:val="false"/>
                <w:bCs w:val="false"/>
                <w:color w:val="2B2B2B"/>
                <w:sz w:val="18"/>
                <w:szCs w:val="18"/>
              </w:rPr>
              <w:t xml:space="preserve">OEE use case</w:t>
            </w:r>
          </w:p>
        </w:tc>
        <w:tc>
          <w:tcPr>
            <w:tcW w:type="dxa" w:w="2858"/>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rFonts w:ascii="Consolas" w:cs="Consolas" w:eastAsia="Consolas" w:hAnsi="Consolas"/>
                <w:b w:val="false"/>
                <w:bCs w:val="false"/>
                <w:color w:val="2B2B2B"/>
                <w:sz w:val="17"/>
                <w:szCs w:val="17"/>
              </w:rPr>
              <w:t xml:space="preserve">data_pipeline_oee</w:t>
            </w:r>
          </w:p>
        </w:tc>
        <w:tc>
          <w:tcPr>
            <w:tcW w:type="dxa" w:w="3048"/>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b w:val="false"/>
                <w:bCs w:val="false"/>
                <w:color w:val="2B2B2B"/>
                <w:sz w:val="18"/>
                <w:szCs w:val="18"/>
              </w:rPr>
              <w:t xml:space="preserve">The OEE calculation function</w:t>
            </w:r>
          </w:p>
        </w:tc>
        <w:tc>
          <w:tcPr>
            <w:tcW w:type="dxa" w:w="2096"/>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b w:val="false"/>
                <w:bCs w:val="false"/>
                <w:color w:val="2B2B2B"/>
                <w:sz w:val="18"/>
                <w:szCs w:val="18"/>
              </w:rPr>
              <w:t xml:space="preserve">Reads source data, writes OEE data</w:t>
            </w:r>
          </w:p>
        </w:tc>
      </w:tr>
      <w:tr>
        <w:trPr>
          <w:cantSplit/>
        </w:trPr>
        <w:tc>
          <w:tcPr>
            <w:tcW w:type="dxa" w:w="152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Users</w:t>
            </w:r>
          </w:p>
        </w:tc>
        <w:tc>
          <w:tcPr>
            <w:tcW w:type="dxa" w:w="2858"/>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rFonts w:ascii="Consolas" w:cs="Consolas" w:eastAsia="Consolas" w:hAnsi="Consolas"/>
                <w:b w:val="false"/>
                <w:bCs w:val="false"/>
                <w:color w:val="2B2B2B"/>
                <w:sz w:val="17"/>
                <w:szCs w:val="17"/>
              </w:rPr>
              <w:t xml:space="preserve">data_developer</w:t>
            </w:r>
          </w:p>
        </w:tc>
        <w:tc>
          <w:tcPr>
            <w:tcW w:type="dxa" w:w="3048"/>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Developers working in the Fusion user interface</w:t>
            </w:r>
          </w:p>
        </w:tc>
        <w:tc>
          <w:tcPr>
            <w:tcW w:type="dxa" w:w="2096"/>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Read and write</w:t>
            </w:r>
          </w:p>
        </w:tc>
      </w:tr>
    </w:tbl>
    <w:p>
      <w:pPr>
        <w:spacing w:after="80"/>
      </w:pPr>
    </w:p>
    <w:p>
      <w:pPr>
        <w:pStyle w:val="ListParagraph"/>
        <w:numPr>
          <w:ilvl w:val="0"/>
          <w:numId w:val="2"/>
        </w:numPr>
        <w:spacing w:after="70" w:line="280"/>
      </w:pPr>
      <w:r>
        <w:t xml:space="preserve">Secrets are kept only in two local files, </w:t>
      </w:r>
      <w:r>
        <w:rPr>
          <w:rFonts w:ascii="Consolas" w:cs="Consolas" w:eastAsia="Consolas" w:hAnsi="Consolas"/>
          <w:sz w:val="20"/>
          <w:szCs w:val="20"/>
        </w:rPr>
        <w:t xml:space="preserve">.env</w:t>
      </w:r>
      <w:r>
        <w:t xml:space="preserve"> for test and </w:t>
      </w:r>
      <w:r>
        <w:rPr>
          <w:rFonts w:ascii="Consolas" w:cs="Consolas" w:eastAsia="Consolas" w:hAnsi="Consolas"/>
          <w:sz w:val="20"/>
          <w:szCs w:val="20"/>
        </w:rPr>
        <w:t xml:space="preserve">.env.prod</w:t>
      </w:r>
      <w:r>
        <w:t xml:space="preserve"> for production. Configuration files refer to them by variable name; no secret appears in the modules, in the build output or in this memo.</w:t>
      </w:r>
    </w:p>
    <w:p>
      <w:pPr>
        <w:pStyle w:val="ListParagraph"/>
        <w:numPr>
          <w:ilvl w:val="0"/>
          <w:numId w:val="2"/>
        </w:numPr>
        <w:spacing w:after="70" w:line="280"/>
      </w:pPr>
      <w:r>
        <w:t xml:space="preserve">A missing Entra group membership raises no error at deployment: the account authenticates but holds no rights. The reliable control is to ask CDF which groups each account actually obtains (token inspection), which the health check does.</w:t>
      </w:r>
    </w:p>
    <w:p>
      <w:pPr>
        <w:pStyle w:val="Heading1"/>
      </w:pPr>
      <w:r>
        <w:t xml:space="preserve">6. Deployment approach</w:t>
      </w:r>
    </w:p>
    <w:p>
      <w:pPr>
        <w:pStyle w:val="ListParagraph"/>
        <w:numPr>
          <w:ilvl w:val="0"/>
          <w:numId w:val="2"/>
        </w:numPr>
        <w:spacing w:after="70" w:line="280"/>
      </w:pPr>
      <w:r>
        <w:rPr>
          <w:b/>
          <w:bCs/>
        </w:rPr>
        <w:t xml:space="preserve">Configuration as code.</w:t>
      </w:r>
      <w:r>
        <w:t xml:space="preserve"> All resources are defined in files under </w:t>
      </w:r>
      <w:r>
        <w:rPr>
          <w:rFonts w:ascii="Consolas" w:cs="Consolas" w:eastAsia="Consolas" w:hAnsi="Consolas"/>
          <w:sz w:val="20"/>
          <w:szCs w:val="20"/>
        </w:rPr>
        <w:t xml:space="preserve">modules/</w:t>
      </w:r>
      <w:r>
        <w:t xml:space="preserve"> and deployed with the Cognite Toolkit, pinned to version 0.6.53 as required by the course. Each change follows the same cycle: build, dry-run, deploy, then a control.</w:t>
      </w:r>
    </w:p>
    <w:p>
      <w:pPr>
        <w:pStyle w:val="ListParagraph"/>
        <w:numPr>
          <w:ilvl w:val="0"/>
          <w:numId w:val="2"/>
        </w:numPr>
        <w:spacing w:after="70" w:line="280"/>
      </w:pPr>
      <w:r>
        <w:rPr>
          <w:b/>
          <w:bCs/>
        </w:rPr>
        <w:t xml:space="preserve">Same files, two environments.</w:t>
      </w:r>
      <w:r>
        <w:t xml:space="preserve"> Test and production differ only by a configuration file (</w:t>
      </w:r>
      <w:r>
        <w:rPr>
          <w:rFonts w:ascii="Consolas" w:cs="Consolas" w:eastAsia="Consolas" w:hAnsi="Consolas"/>
          <w:sz w:val="20"/>
          <w:szCs w:val="20"/>
        </w:rPr>
        <w:t xml:space="preserve">config.test.yaml</w:t>
      </w:r>
      <w:r>
        <w:t xml:space="preserve">, </w:t>
      </w:r>
      <w:r>
        <w:rPr>
          <w:rFonts w:ascii="Consolas" w:cs="Consolas" w:eastAsia="Consolas" w:hAnsi="Consolas"/>
          <w:sz w:val="20"/>
          <w:szCs w:val="20"/>
        </w:rPr>
        <w:t xml:space="preserve">config.prod.yaml</w:t>
      </w:r>
      <w:r>
        <w:t xml:space="preserve">) and a secrets file. Production commands must name their secrets file and build folder explicitly, so an ordinary deployment command cannot reach production by accident.</w:t>
      </w:r>
    </w:p>
    <w:p>
      <w:pPr>
        <w:pStyle w:val="ListParagraph"/>
        <w:numPr>
          <w:ilvl w:val="0"/>
          <w:numId w:val="2"/>
        </w:numPr>
        <w:spacing w:after="70" w:line="280"/>
      </w:pPr>
      <w:r>
        <w:rPr>
          <w:b/>
          <w:bCs/>
        </w:rPr>
        <w:t xml:space="preserve">Two-pass production deployment.</w:t>
      </w:r>
      <w:r>
        <w:t xml:space="preserve"> Access groups, data sets, staging and spaces first, followed by a control of effective access; everything else second. This ordering is what allowed the production extractors to succeed on their first run.</w:t>
      </w:r>
    </w:p>
    <w:p>
      <w:pPr>
        <w:pStyle w:val="ListParagraph"/>
        <w:numPr>
          <w:ilvl w:val="0"/>
          <w:numId w:val="2"/>
        </w:numPr>
        <w:spacing w:after="70" w:line="280"/>
      </w:pPr>
      <w:r>
        <w:rPr>
          <w:b/>
          <w:bCs/>
        </w:rPr>
        <w:t xml:space="preserve">Working method.</w:t>
      </w:r>
      <w:r>
        <w:t xml:space="preserve"> Configuration files, verification scripts and diagnostics were produced with an AI coding assistant; the actions in the Entra and Fusion portals and every deployment were carried out by the author, with the exception of one canvas annotation drawn by the assistant through the browser. The work was done locally, without GitHub; section 9 describes how to move it to a repository.</w:t>
      </w:r>
    </w:p>
    <w:p>
      <w:pPr>
        <w:spacing w:after="80"/>
      </w:pP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7049"/>
        <w:gridCol w:w="2477"/>
      </w:tblGrid>
      <w:tr>
        <w:trPr>
          <w:tblHeader/>
        </w:trPr>
        <w:tc>
          <w:tcPr>
            <w:tcW w:type="dxa" w:w="7049"/>
            <w:tcBorders>
              <w:top w:val="single" w:color="B8C4D6" w:sz="4"/>
              <w:left w:val="single" w:color="B8C4D6" w:sz="4"/>
              <w:bottom w:val="single" w:color="B8C4D6" w:sz="4"/>
              <w:right w:val="single" w:color="B8C4D6" w:sz="4"/>
            </w:tcBorders>
            <w:shd w:fill="E8EEF5" w:color="auto" w:val="clear"/>
            <w:tcMar>
              <w:top w:type="dxa" w:w="70"/>
              <w:left w:type="dxa" w:w="110"/>
              <w:bottom w:type="dxa" w:w="70"/>
              <w:right w:type="dxa" w:w="110"/>
            </w:tcMar>
            <w:vAlign w:val="center"/>
          </w:tcPr>
          <w:p>
            <w:pPr>
              <w:keepNext w:val="false"/>
              <w:jc w:val="left"/>
            </w:pPr>
            <w:r>
              <w:rPr>
                <w:b/>
                <w:bCs/>
                <w:color w:val="14213D"/>
                <w:sz w:val="18"/>
                <w:szCs w:val="18"/>
              </w:rPr>
              <w:t xml:space="preserve">Milestone, 5 October 2026</w:t>
            </w:r>
          </w:p>
        </w:tc>
        <w:tc>
          <w:tcPr>
            <w:tcW w:type="dxa" w:w="2477"/>
            <w:tcBorders>
              <w:top w:val="single" w:color="B8C4D6" w:sz="4"/>
              <w:left w:val="single" w:color="B8C4D6" w:sz="4"/>
              <w:bottom w:val="single" w:color="B8C4D6" w:sz="4"/>
              <w:right w:val="single" w:color="B8C4D6" w:sz="4"/>
            </w:tcBorders>
            <w:shd w:fill="E8EEF5" w:color="auto" w:val="clear"/>
            <w:tcMar>
              <w:top w:type="dxa" w:w="70"/>
              <w:left w:type="dxa" w:w="110"/>
              <w:bottom w:type="dxa" w:w="70"/>
              <w:right w:type="dxa" w:w="110"/>
            </w:tcMar>
            <w:vAlign w:val="center"/>
          </w:tcPr>
          <w:p>
            <w:pPr>
              <w:keepNext w:val="false"/>
              <w:jc w:val="right"/>
            </w:pPr>
            <w:r>
              <w:rPr>
                <w:b/>
                <w:bCs/>
                <w:color w:val="14213D"/>
                <w:sz w:val="18"/>
                <w:szCs w:val="18"/>
              </w:rPr>
              <w:t xml:space="preserve">Time (UTC)</w:t>
            </w:r>
          </w:p>
        </w:tc>
      </w:tr>
      <w:tr>
        <w:trPr>
          <w:cantSplit/>
        </w:trPr>
        <w:tc>
          <w:tcPr>
            <w:tcW w:type="dxa" w:w="7049"/>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Foundations deployed and verified in test</w:t>
            </w:r>
          </w:p>
        </w:tc>
        <w:tc>
          <w:tcPr>
            <w:tcW w:type="dxa" w:w="2477"/>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right"/>
            </w:pPr>
            <w:r>
              <w:rPr>
                <w:b w:val="false"/>
                <w:bCs w:val="false"/>
                <w:color w:val="2B2B2B"/>
                <w:sz w:val="18"/>
                <w:szCs w:val="18"/>
              </w:rPr>
              <w:t xml:space="preserve">Morning</w:t>
            </w:r>
          </w:p>
        </w:tc>
      </w:tr>
      <w:tr>
        <w:trPr>
          <w:cantSplit/>
        </w:trPr>
        <w:tc>
          <w:tcPr>
            <w:tcW w:type="dxa" w:w="7049"/>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Hosted extractors delivering data in test (after an access fix)</w:t>
            </w:r>
          </w:p>
        </w:tc>
        <w:tc>
          <w:tcPr>
            <w:tcW w:type="dxa" w:w="2477"/>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right"/>
            </w:pPr>
            <w:r>
              <w:rPr>
                <w:b w:val="false"/>
                <w:bCs w:val="false"/>
                <w:color w:val="2B2B2B"/>
                <w:sz w:val="18"/>
                <w:szCs w:val="18"/>
              </w:rPr>
              <w:t xml:space="preserve">12:16</w:t>
            </w:r>
          </w:p>
        </w:tc>
      </w:tr>
      <w:tr>
        <w:trPr>
          <w:cantSplit/>
        </w:trPr>
        <w:tc>
          <w:tcPr>
            <w:tcW w:type="dxa" w:w="7049"/>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Asset hierarchy and contextualisation completed in test</w:t>
            </w:r>
          </w:p>
        </w:tc>
        <w:tc>
          <w:tcPr>
            <w:tcW w:type="dxa" w:w="2477"/>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right"/>
            </w:pPr>
            <w:r>
              <w:rPr>
                <w:b w:val="false"/>
                <w:bCs w:val="false"/>
                <w:color w:val="2B2B2B"/>
                <w:sz w:val="18"/>
                <w:szCs w:val="18"/>
              </w:rPr>
              <w:t xml:space="preserve">12:25</w:t>
            </w:r>
          </w:p>
        </w:tc>
      </w:tr>
      <w:tr>
        <w:trPr>
          <w:cantSplit/>
        </w:trPr>
        <w:tc>
          <w:tcPr>
            <w:tcW w:type="dxa" w:w="7049"/>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Asset paths repaired in test</w:t>
            </w:r>
          </w:p>
        </w:tc>
        <w:tc>
          <w:tcPr>
            <w:tcW w:type="dxa" w:w="2477"/>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right"/>
            </w:pPr>
            <w:r>
              <w:rPr>
                <w:b w:val="false"/>
                <w:bCs w:val="false"/>
                <w:color w:val="2B2B2B"/>
                <w:sz w:val="18"/>
                <w:szCs w:val="18"/>
              </w:rPr>
              <w:t xml:space="preserve">12:46</w:t>
            </w:r>
          </w:p>
        </w:tc>
      </w:tr>
      <w:tr>
        <w:trPr>
          <w:cantSplit/>
        </w:trPr>
        <w:tc>
          <w:tcPr>
            <w:tcW w:type="dxa" w:w="7049"/>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History loaded and OEE calculated in test</w:t>
            </w:r>
          </w:p>
        </w:tc>
        <w:tc>
          <w:tcPr>
            <w:tcW w:type="dxa" w:w="2477"/>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right"/>
            </w:pPr>
            <w:r>
              <w:rPr>
                <w:b w:val="false"/>
                <w:bCs w:val="false"/>
                <w:color w:val="2B2B2B"/>
                <w:sz w:val="18"/>
                <w:szCs w:val="18"/>
              </w:rPr>
              <w:t xml:space="preserve">13:07</w:t>
            </w:r>
          </w:p>
        </w:tc>
      </w:tr>
      <w:tr>
        <w:trPr>
          <w:cantSplit/>
        </w:trPr>
        <w:tc>
          <w:tcPr>
            <w:tcW w:type="dxa" w:w="7049"/>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Workflow first execution completed in test</w:t>
            </w:r>
          </w:p>
        </w:tc>
        <w:tc>
          <w:tcPr>
            <w:tcW w:type="dxa" w:w="2477"/>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right"/>
            </w:pPr>
            <w:r>
              <w:rPr>
                <w:b w:val="false"/>
                <w:bCs w:val="false"/>
                <w:color w:val="2B2B2B"/>
                <w:sz w:val="18"/>
                <w:szCs w:val="18"/>
              </w:rPr>
              <w:t xml:space="preserve">13:19</w:t>
            </w:r>
          </w:p>
        </w:tc>
      </w:tr>
      <w:tr>
        <w:trPr>
          <w:cantSplit/>
        </w:trPr>
        <w:tc>
          <w:tcPr>
            <w:tcW w:type="dxa" w:w="7049"/>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Production: main deployment</w:t>
            </w:r>
          </w:p>
        </w:tc>
        <w:tc>
          <w:tcPr>
            <w:tcW w:type="dxa" w:w="2477"/>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right"/>
            </w:pPr>
            <w:r>
              <w:rPr>
                <w:b w:val="false"/>
                <w:bCs w:val="false"/>
                <w:color w:val="2B2B2B"/>
                <w:sz w:val="18"/>
                <w:szCs w:val="18"/>
              </w:rPr>
              <w:t xml:space="preserve">14:49</w:t>
            </w:r>
          </w:p>
        </w:tc>
      </w:tr>
      <w:tr>
        <w:trPr>
          <w:cantSplit/>
        </w:trPr>
        <w:tc>
          <w:tcPr>
            <w:tcW w:type="dxa" w:w="7049"/>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Production: complete and verified</w:t>
            </w:r>
          </w:p>
        </w:tc>
        <w:tc>
          <w:tcPr>
            <w:tcW w:type="dxa" w:w="2477"/>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right"/>
            </w:pPr>
            <w:r>
              <w:rPr>
                <w:b w:val="false"/>
                <w:bCs w:val="false"/>
                <w:color w:val="2B2B2B"/>
                <w:sz w:val="18"/>
                <w:szCs w:val="18"/>
              </w:rPr>
              <w:t xml:space="preserve">15:34</w:t>
            </w:r>
          </w:p>
        </w:tc>
      </w:tr>
    </w:tbl>
    <w:p>
      <w:pPr>
        <w:pStyle w:val="Heading1"/>
      </w:pPr>
      <w:r>
        <w:t xml:space="preserve">7. Issues encountered and resolutions</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2667"/>
        <w:gridCol w:w="3620"/>
        <w:gridCol w:w="3239"/>
      </w:tblGrid>
      <w:tr>
        <w:trPr>
          <w:tblHeader/>
        </w:trPr>
        <w:tc>
          <w:tcPr>
            <w:tcW w:type="dxa" w:w="2667"/>
            <w:tcBorders>
              <w:top w:val="single" w:color="B8C4D6" w:sz="4"/>
              <w:left w:val="single" w:color="B8C4D6" w:sz="4"/>
              <w:bottom w:val="single" w:color="B8C4D6" w:sz="4"/>
              <w:right w:val="single" w:color="B8C4D6" w:sz="4"/>
            </w:tcBorders>
            <w:shd w:fill="E8EEF5" w:color="auto" w:val="clear"/>
            <w:tcMar>
              <w:top w:type="dxa" w:w="70"/>
              <w:left w:type="dxa" w:w="110"/>
              <w:bottom w:type="dxa" w:w="70"/>
              <w:right w:type="dxa" w:w="110"/>
            </w:tcMar>
            <w:vAlign w:val="center"/>
          </w:tcPr>
          <w:p>
            <w:pPr>
              <w:keepNext w:val="false"/>
              <w:jc w:val="left"/>
            </w:pPr>
            <w:r>
              <w:rPr>
                <w:b/>
                <w:bCs/>
                <w:color w:val="14213D"/>
                <w:sz w:val="18"/>
                <w:szCs w:val="18"/>
              </w:rPr>
              <w:t xml:space="preserve">Issue</w:t>
            </w:r>
          </w:p>
        </w:tc>
        <w:tc>
          <w:tcPr>
            <w:tcW w:type="dxa" w:w="3620"/>
            <w:tcBorders>
              <w:top w:val="single" w:color="B8C4D6" w:sz="4"/>
              <w:left w:val="single" w:color="B8C4D6" w:sz="4"/>
              <w:bottom w:val="single" w:color="B8C4D6" w:sz="4"/>
              <w:right w:val="single" w:color="B8C4D6" w:sz="4"/>
            </w:tcBorders>
            <w:shd w:fill="E8EEF5" w:color="auto" w:val="clear"/>
            <w:tcMar>
              <w:top w:type="dxa" w:w="70"/>
              <w:left w:type="dxa" w:w="110"/>
              <w:bottom w:type="dxa" w:w="70"/>
              <w:right w:type="dxa" w:w="110"/>
            </w:tcMar>
            <w:vAlign w:val="center"/>
          </w:tcPr>
          <w:p>
            <w:pPr>
              <w:keepNext w:val="false"/>
              <w:jc w:val="left"/>
            </w:pPr>
            <w:r>
              <w:rPr>
                <w:b/>
                <w:bCs/>
                <w:color w:val="14213D"/>
                <w:sz w:val="18"/>
                <w:szCs w:val="18"/>
              </w:rPr>
              <w:t xml:space="preserve">Cause</w:t>
            </w:r>
          </w:p>
        </w:tc>
        <w:tc>
          <w:tcPr>
            <w:tcW w:type="dxa" w:w="3239"/>
            <w:tcBorders>
              <w:top w:val="single" w:color="B8C4D6" w:sz="4"/>
              <w:left w:val="single" w:color="B8C4D6" w:sz="4"/>
              <w:bottom w:val="single" w:color="B8C4D6" w:sz="4"/>
              <w:right w:val="single" w:color="B8C4D6" w:sz="4"/>
            </w:tcBorders>
            <w:shd w:fill="E8EEF5" w:color="auto" w:val="clear"/>
            <w:tcMar>
              <w:top w:type="dxa" w:w="70"/>
              <w:left w:type="dxa" w:w="110"/>
              <w:bottom w:type="dxa" w:w="70"/>
              <w:right w:type="dxa" w:w="110"/>
            </w:tcMar>
            <w:vAlign w:val="center"/>
          </w:tcPr>
          <w:p>
            <w:pPr>
              <w:keepNext w:val="false"/>
              <w:jc w:val="left"/>
            </w:pPr>
            <w:r>
              <w:rPr>
                <w:b/>
                <w:bCs/>
                <w:color w:val="14213D"/>
                <w:sz w:val="18"/>
                <w:szCs w:val="18"/>
              </w:rPr>
              <w:t xml:space="preserve">Resolution</w:t>
            </w:r>
          </w:p>
        </w:tc>
      </w:tr>
      <w:tr>
        <w:trPr>
          <w:cantSplit/>
        </w:trPr>
        <w:tc>
          <w:tcPr>
            <w:tcW w:type="dxa" w:w="2667"/>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Deployment tool rejected the course configuration</w:t>
            </w:r>
          </w:p>
        </w:tc>
        <w:tc>
          <w:tcPr>
            <w:tcW w:type="dxa" w:w="3620"/>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Latest Toolkit version installed instead of the version pinned by the course</w:t>
            </w:r>
          </w:p>
        </w:tc>
        <w:tc>
          <w:tcPr>
            <w:tcW w:type="dxa" w:w="3239"/>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Installed exactly version 0.6.53</w:t>
            </w:r>
          </w:p>
        </w:tc>
      </w:tr>
      <w:tr>
        <w:trPr>
          <w:cantSplit/>
        </w:trPr>
        <w:tc>
          <w:tcPr>
            <w:tcW w:type="dxa" w:w="2667"/>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rFonts w:ascii="Consolas" w:cs="Consolas" w:eastAsia="Consolas" w:hAnsi="Consolas"/>
                <w:b w:val="false"/>
                <w:bCs w:val="false"/>
                <w:color w:val="2B2B2B"/>
                <w:sz w:val="17"/>
                <w:szCs w:val="17"/>
              </w:rPr>
              <w:t xml:space="preserve">Invalid client secret</w:t>
            </w:r>
            <w:r>
              <w:rPr>
                <w:b w:val="false"/>
                <w:bCs w:val="false"/>
                <w:color w:val="2B2B2B"/>
                <w:sz w:val="18"/>
                <w:szCs w:val="18"/>
              </w:rPr>
              <w:t xml:space="preserve"> at authentication</w:t>
            </w:r>
          </w:p>
        </w:tc>
        <w:tc>
          <w:tcPr>
            <w:tcW w:type="dxa" w:w="3620"/>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The secret identifier was copied instead of the secret value</w:t>
            </w:r>
          </w:p>
        </w:tc>
        <w:tc>
          <w:tcPr>
            <w:tcW w:type="dxa" w:w="3239"/>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New secrets created and the value copied at creation</w:t>
            </w:r>
          </w:p>
        </w:tc>
      </w:tr>
      <w:tr>
        <w:trPr>
          <w:cantSplit/>
        </w:trPr>
        <w:tc>
          <w:tcPr>
            <w:tcW w:type="dxa" w:w="2667"/>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rFonts w:ascii="Consolas" w:cs="Consolas" w:eastAsia="Consolas" w:hAnsi="Consolas"/>
                <w:b w:val="false"/>
                <w:bCs w:val="false"/>
                <w:color w:val="2B2B2B"/>
                <w:sz w:val="17"/>
                <w:szCs w:val="17"/>
              </w:rPr>
              <w:t xml:space="preserve">CERTIFICATE_VERIFY_FAILED</w:t>
            </w:r>
            <w:r>
              <w:rPr>
                <w:b w:val="false"/>
                <w:bCs w:val="false"/>
                <w:color w:val="2B2B2B"/>
                <w:sz w:val="18"/>
                <w:szCs w:val="18"/>
              </w:rPr>
              <w:t xml:space="preserve"> when reaching CDF</w:t>
            </w:r>
          </w:p>
        </w:tc>
        <w:tc>
          <w:tcPr>
            <w:tcW w:type="dxa" w:w="3620"/>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The corporate proxy re-signs traffic; Python does not use the Windows certificate store by default</w:t>
            </w:r>
          </w:p>
        </w:tc>
        <w:tc>
          <w:tcPr>
            <w:tcW w:type="dxa" w:w="3239"/>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Python configured to use the Windows store; TLS verification kept on</w:t>
            </w:r>
          </w:p>
        </w:tc>
      </w:tr>
      <w:tr>
        <w:trPr>
          <w:cantSplit/>
        </w:trPr>
        <w:tc>
          <w:tcPr>
            <w:tcW w:type="dxa" w:w="2667"/>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Extractors failed with a 403 on their first run (test)</w:t>
            </w:r>
          </w:p>
        </w:tc>
        <w:tc>
          <w:tcPr>
            <w:tcW w:type="dxa" w:w="3620"/>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One service principal had not been added to its Entra group</w:t>
            </w:r>
          </w:p>
        </w:tc>
        <w:tc>
          <w:tcPr>
            <w:tcW w:type="dxa" w:w="3239"/>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Membership added; effective access now controlled before deploying anything that runs</w:t>
            </w:r>
          </w:p>
        </w:tc>
      </w:tr>
      <w:tr>
        <w:trPr>
          <w:cantSplit/>
        </w:trPr>
        <w:tc>
          <w:tcPr>
            <w:tcW w:type="dxa" w:w="2667"/>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A corrected extractor job did not run again</w:t>
            </w:r>
          </w:p>
        </w:tc>
        <w:tc>
          <w:tcPr>
            <w:tcW w:type="dxa" w:w="3620"/>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A job only retries at its interval, up to one day; pause and resume has no effect</w:t>
            </w:r>
          </w:p>
        </w:tc>
        <w:tc>
          <w:tcPr>
            <w:tcW w:type="dxa" w:w="3239"/>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Temporarily changed the job interval and redeployed, then restored it</w:t>
            </w:r>
          </w:p>
        </w:tc>
      </w:tr>
      <w:tr>
        <w:trPr>
          <w:cantSplit/>
        </w:trPr>
        <w:tc>
          <w:tcPr>
            <w:tcW w:type="dxa" w:w="2667"/>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182 assets in test and 294 in production had an empty or truncated </w:t>
            </w:r>
            <w:r>
              <w:rPr>
                <w:rFonts w:ascii="Consolas" w:cs="Consolas" w:eastAsia="Consolas" w:hAnsi="Consolas"/>
                <w:b w:val="false"/>
                <w:bCs w:val="false"/>
                <w:color w:val="2B2B2B"/>
                <w:sz w:val="17"/>
                <w:szCs w:val="17"/>
              </w:rPr>
              <w:t xml:space="preserve">path</w:t>
            </w:r>
          </w:p>
        </w:tc>
        <w:tc>
          <w:tcPr>
            <w:tcW w:type="dxa" w:w="3620"/>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CDF computes </w:t>
            </w:r>
            <w:r>
              <w:rPr>
                <w:rFonts w:ascii="Consolas" w:cs="Consolas" w:eastAsia="Consolas" w:hAnsi="Consolas"/>
                <w:b w:val="false"/>
                <w:bCs w:val="false"/>
                <w:color w:val="2B2B2B"/>
                <w:sz w:val="17"/>
                <w:szCs w:val="17"/>
              </w:rPr>
              <w:t xml:space="preserve">path</w:t>
            </w:r>
            <w:r>
              <w:rPr>
                <w:b w:val="false"/>
                <w:bCs w:val="false"/>
                <w:color w:val="2B2B2B"/>
                <w:sz w:val="18"/>
                <w:szCs w:val="18"/>
              </w:rPr>
              <w:t xml:space="preserve"> when the parent is written, from what exists at that moment; the load writes children and parents in no guaranteed order; re-running the load is a no-op</w:t>
            </w:r>
          </w:p>
        </w:tc>
        <w:tc>
          <w:tcPr>
            <w:tcW w:type="dxa" w:w="3239"/>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A script detaches and re-attaches each affected asset, top-down, after a single-asset trial and a backup</w:t>
            </w:r>
          </w:p>
        </w:tc>
      </w:tr>
      <w:tr>
        <w:trPr>
          <w:cantSplit/>
        </w:trPr>
        <w:tc>
          <w:tcPr>
            <w:tcW w:type="dxa" w:w="2667"/>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A function call shows Completed although it may have failed</w:t>
            </w:r>
          </w:p>
        </w:tc>
        <w:tc>
          <w:tcPr>
            <w:tcW w:type="dxa" w:w="3620"/>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The supplied extractor catches its own errors and reports them to the extraction pipeline</w:t>
            </w:r>
          </w:p>
        </w:tc>
        <w:tc>
          <w:tcPr>
            <w:tcW w:type="dxa" w:w="3239"/>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Outcome read from the extraction pipeline runs and confirmed by counting datapoints</w:t>
            </w:r>
          </w:p>
        </w:tc>
      </w:tr>
      <w:tr>
        <w:trPr>
          <w:cantSplit/>
        </w:trPr>
        <w:tc>
          <w:tcPr>
            <w:tcW w:type="dxa" w:w="2667"/>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OEE history missing for five production sites</w:t>
            </w:r>
          </w:p>
        </w:tc>
        <w:tc>
          <w:tcPr>
            <w:tcW w:type="dxa" w:w="3620"/>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The same site list was submitted in both manual calls</w:t>
            </w:r>
          </w:p>
        </w:tc>
        <w:tc>
          <w:tcPr>
            <w:tcW w:type="dxa" w:w="3239"/>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Detected by the per-site datapoint count; one additional call</w:t>
            </w:r>
          </w:p>
        </w:tc>
      </w:tr>
    </w:tbl>
    <w:p>
      <w:pPr>
        <w:spacing w:after="160" w:before="80"/>
        <w:rPr>
          <w:i/>
          <w:iCs/>
          <w:color w:val="5F6B7A"/>
          <w:sz w:val="18"/>
          <w:szCs w:val="18"/>
        </w:rPr>
      </w:pPr>
      <w:r>
        <w:rPr>
          <w:i/>
          <w:iCs/>
          <w:color w:val="5F6B7A"/>
          <w:sz w:val="18"/>
          <w:szCs w:val="18"/>
        </w:rPr>
        <w:t xml:space="preserve">The path issue is the most significant: the downstream functions locate the time series of a site through </w:t>
      </w:r>
      <w:r>
        <w:rPr>
          <w:rFonts w:ascii="Consolas" w:cs="Consolas" w:eastAsia="Consolas" w:hAnsi="Consolas"/>
          <w:i/>
          <w:iCs/>
          <w:color w:val="5F6B7A"/>
          <w:sz w:val="17"/>
          <w:szCs w:val="17"/>
        </w:rPr>
        <w:t xml:space="preserve">path</w:t>
      </w:r>
      <w:r>
        <w:rPr>
          <w:i/>
          <w:iCs/>
          <w:color w:val="5F6B7A"/>
          <w:sz w:val="18"/>
          <w:szCs w:val="18"/>
        </w:rPr>
        <w:t xml:space="preserve">, so affected assets were skipped without any error. In test, 480 of 2,512 time series would have been left without values; in production, 804.</w:t>
      </w:r>
    </w:p>
    <w:p>
      <w:pPr>
        <w:pStyle w:val="Heading1"/>
      </w:pPr>
      <w:r>
        <w:t xml:space="preserve">8. Deviations from the official bootcamp path</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3239"/>
        <w:gridCol w:w="3429"/>
        <w:gridCol w:w="2858"/>
      </w:tblGrid>
      <w:tr>
        <w:trPr>
          <w:tblHeader/>
        </w:trPr>
        <w:tc>
          <w:tcPr>
            <w:tcW w:type="dxa" w:w="3239"/>
            <w:tcBorders>
              <w:top w:val="single" w:color="B8C4D6" w:sz="4"/>
              <w:left w:val="single" w:color="B8C4D6" w:sz="4"/>
              <w:bottom w:val="single" w:color="B8C4D6" w:sz="4"/>
              <w:right w:val="single" w:color="B8C4D6" w:sz="4"/>
            </w:tcBorders>
            <w:shd w:fill="E8EEF5" w:color="auto" w:val="clear"/>
            <w:tcMar>
              <w:top w:type="dxa" w:w="70"/>
              <w:left w:type="dxa" w:w="110"/>
              <w:bottom w:type="dxa" w:w="70"/>
              <w:right w:type="dxa" w:w="110"/>
            </w:tcMar>
            <w:vAlign w:val="center"/>
          </w:tcPr>
          <w:p>
            <w:pPr>
              <w:keepNext/>
              <w:jc w:val="left"/>
            </w:pPr>
            <w:r>
              <w:rPr>
                <w:b/>
                <w:bCs/>
                <w:color w:val="14213D"/>
                <w:sz w:val="18"/>
                <w:szCs w:val="18"/>
              </w:rPr>
              <w:t xml:space="preserve">The course expects</w:t>
            </w:r>
          </w:p>
        </w:tc>
        <w:tc>
          <w:tcPr>
            <w:tcW w:type="dxa" w:w="3429"/>
            <w:tcBorders>
              <w:top w:val="single" w:color="B8C4D6" w:sz="4"/>
              <w:left w:val="single" w:color="B8C4D6" w:sz="4"/>
              <w:bottom w:val="single" w:color="B8C4D6" w:sz="4"/>
              <w:right w:val="single" w:color="B8C4D6" w:sz="4"/>
            </w:tcBorders>
            <w:shd w:fill="E8EEF5" w:color="auto" w:val="clear"/>
            <w:tcMar>
              <w:top w:type="dxa" w:w="70"/>
              <w:left w:type="dxa" w:w="110"/>
              <w:bottom w:type="dxa" w:w="70"/>
              <w:right w:type="dxa" w:w="110"/>
            </w:tcMar>
            <w:vAlign w:val="center"/>
          </w:tcPr>
          <w:p>
            <w:pPr>
              <w:keepNext/>
              <w:jc w:val="left"/>
            </w:pPr>
            <w:r>
              <w:rPr>
                <w:b/>
                <w:bCs/>
                <w:color w:val="14213D"/>
                <w:sz w:val="18"/>
                <w:szCs w:val="18"/>
              </w:rPr>
              <w:t xml:space="preserve">What was done</w:t>
            </w:r>
          </w:p>
        </w:tc>
        <w:tc>
          <w:tcPr>
            <w:tcW w:type="dxa" w:w="2858"/>
            <w:tcBorders>
              <w:top w:val="single" w:color="B8C4D6" w:sz="4"/>
              <w:left w:val="single" w:color="B8C4D6" w:sz="4"/>
              <w:bottom w:val="single" w:color="B8C4D6" w:sz="4"/>
              <w:right w:val="single" w:color="B8C4D6" w:sz="4"/>
            </w:tcBorders>
            <w:shd w:fill="E8EEF5" w:color="auto" w:val="clear"/>
            <w:tcMar>
              <w:top w:type="dxa" w:w="70"/>
              <w:left w:type="dxa" w:w="110"/>
              <w:bottom w:type="dxa" w:w="70"/>
              <w:right w:type="dxa" w:w="110"/>
            </w:tcMar>
            <w:vAlign w:val="center"/>
          </w:tcPr>
          <w:p>
            <w:pPr>
              <w:keepNext/>
              <w:jc w:val="left"/>
            </w:pPr>
            <w:r>
              <w:rPr>
                <w:b/>
                <w:bCs/>
                <w:color w:val="14213D"/>
                <w:sz w:val="18"/>
                <w:szCs w:val="18"/>
              </w:rPr>
              <w:t xml:space="preserve">Effect</w:t>
            </w:r>
          </w:p>
        </w:tc>
      </w:tr>
      <w:tr>
        <w:trPr>
          <w:cantSplit/>
        </w:trPr>
        <w:tc>
          <w:tcPr>
            <w:tcW w:type="dxa" w:w="3239"/>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b w:val="false"/>
                <w:bCs w:val="false"/>
                <w:color w:val="2B2B2B"/>
                <w:sz w:val="18"/>
                <w:szCs w:val="18"/>
              </w:rPr>
              <w:t xml:space="preserve">GitHub repository, Codespaces and GitHub Actions</w:t>
            </w:r>
          </w:p>
        </w:tc>
        <w:tc>
          <w:tcPr>
            <w:tcW w:type="dxa" w:w="3429"/>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b w:val="false"/>
                <w:bCs w:val="false"/>
                <w:color w:val="2B2B2B"/>
                <w:sz w:val="18"/>
                <w:szCs w:val="18"/>
              </w:rPr>
              <w:t xml:space="preserve">Local project folder and the same Toolkit commands run locally</w:t>
            </w:r>
          </w:p>
        </w:tc>
        <w:tc>
          <w:tcPr>
            <w:tcW w:type="dxa" w:w="2858"/>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b w:val="false"/>
                <w:bCs w:val="false"/>
                <w:color w:val="2B2B2B"/>
                <w:sz w:val="18"/>
                <w:szCs w:val="18"/>
              </w:rPr>
              <w:t xml:space="preserve">None on the CDF result; the repository part of the evaluation (20% of the grade) is not covered yet, see section 9</w:t>
            </w:r>
          </w:p>
        </w:tc>
      </w:tr>
      <w:tr>
        <w:trPr>
          <w:cantSplit/>
        </w:trPr>
        <w:tc>
          <w:tcPr>
            <w:tcW w:type="dxa" w:w="3239"/>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b w:val="false"/>
                <w:bCs w:val="false"/>
                <w:color w:val="2B2B2B"/>
                <w:sz w:val="18"/>
                <w:szCs w:val="18"/>
              </w:rPr>
              <w:t xml:space="preserve">Poetry and Python 3.11</w:t>
            </w:r>
          </w:p>
        </w:tc>
        <w:tc>
          <w:tcPr>
            <w:tcW w:type="dxa" w:w="3429"/>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b w:val="false"/>
                <w:bCs w:val="false"/>
                <w:color w:val="2B2B2B"/>
                <w:sz w:val="18"/>
                <w:szCs w:val="18"/>
              </w:rPr>
              <w:t xml:space="preserve">pip in a virtual environment, Python 3.13</w:t>
            </w:r>
          </w:p>
        </w:tc>
        <w:tc>
          <w:tcPr>
            <w:tcW w:type="dxa" w:w="2858"/>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b w:val="false"/>
                <w:bCs w:val="false"/>
                <w:color w:val="2B2B2B"/>
                <w:sz w:val="18"/>
                <w:szCs w:val="18"/>
              </w:rPr>
              <w:t xml:space="preserve">None</w:t>
            </w:r>
          </w:p>
        </w:tc>
      </w:tr>
      <w:tr>
        <w:trPr>
          <w:cantSplit/>
        </w:trPr>
        <w:tc>
          <w:tcPr>
            <w:tcW w:type="dxa" w:w="3239"/>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b w:val="false"/>
                <w:bCs w:val="false"/>
                <w:color w:val="2B2B2B"/>
                <w:sz w:val="18"/>
                <w:szCs w:val="18"/>
              </w:rPr>
              <w:t xml:space="preserve">Creating the extractor and the transformation in the user interface first</w:t>
            </w:r>
          </w:p>
        </w:tc>
        <w:tc>
          <w:tcPr>
            <w:tcW w:type="dxa" w:w="3429"/>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b w:val="false"/>
                <w:bCs w:val="false"/>
                <w:color w:val="2B2B2B"/>
                <w:sz w:val="18"/>
                <w:szCs w:val="18"/>
              </w:rPr>
              <w:t xml:space="preserve">Created directly with the Toolkit, then opened and run in the interface</w:t>
            </w:r>
          </w:p>
        </w:tc>
        <w:tc>
          <w:tcPr>
            <w:tcW w:type="dxa" w:w="2858"/>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b w:val="false"/>
                <w:bCs w:val="false"/>
                <w:color w:val="2B2B2B"/>
                <w:sz w:val="18"/>
                <w:szCs w:val="18"/>
              </w:rPr>
              <w:t xml:space="preserve">Avoids duplicate resources</w:t>
            </w:r>
          </w:p>
        </w:tc>
      </w:tr>
      <w:tr>
        <w:trPr>
          <w:cantSplit/>
        </w:trPr>
        <w:tc>
          <w:tcPr>
            <w:tcW w:type="dxa" w:w="3239"/>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b w:val="false"/>
                <w:bCs w:val="false"/>
                <w:color w:val="2B2B2B"/>
                <w:sz w:val="18"/>
                <w:szCs w:val="18"/>
              </w:rPr>
              <w:t xml:space="preserve">Single deployment to production</w:t>
            </w:r>
          </w:p>
        </w:tc>
        <w:tc>
          <w:tcPr>
            <w:tcW w:type="dxa" w:w="3429"/>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b w:val="false"/>
                <w:bCs w:val="false"/>
                <w:color w:val="2B2B2B"/>
                <w:sz w:val="18"/>
                <w:szCs w:val="18"/>
              </w:rPr>
              <w:t xml:space="preserve">Two-pass deployment</w:t>
            </w:r>
          </w:p>
        </w:tc>
        <w:tc>
          <w:tcPr>
            <w:tcW w:type="dxa" w:w="2858"/>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b w:val="false"/>
                <w:bCs w:val="false"/>
                <w:color w:val="2B2B2B"/>
                <w:sz w:val="18"/>
                <w:szCs w:val="18"/>
              </w:rPr>
              <w:t xml:space="preserve">First extractor run succeeded</w:t>
            </w:r>
          </w:p>
        </w:tc>
      </w:tr>
      <w:tr>
        <w:trPr>
          <w:cantSplit/>
        </w:trPr>
        <w:tc>
          <w:tcPr>
            <w:tcW w:type="dxa" w:w="3239"/>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b w:val="false"/>
                <w:bCs w:val="false"/>
                <w:color w:val="2B2B2B"/>
                <w:sz w:val="18"/>
                <w:szCs w:val="18"/>
              </w:rPr>
              <w:t xml:space="preserve">No step for asset paths</w:t>
            </w:r>
          </w:p>
        </w:tc>
        <w:tc>
          <w:tcPr>
            <w:tcW w:type="dxa" w:w="3429"/>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b w:val="false"/>
                <w:bCs w:val="false"/>
                <w:color w:val="2B2B2B"/>
                <w:sz w:val="18"/>
                <w:szCs w:val="18"/>
              </w:rPr>
              <w:t xml:space="preserve">Path control and repair added after the hierarchy load</w:t>
            </w:r>
          </w:p>
        </w:tc>
        <w:tc>
          <w:tcPr>
            <w:tcW w:type="dxa" w:w="2858"/>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b w:val="false"/>
                <w:bCs w:val="false"/>
                <w:color w:val="2B2B2B"/>
                <w:sz w:val="18"/>
                <w:szCs w:val="18"/>
              </w:rPr>
              <w:t xml:space="preserve">All time series processed</w:t>
            </w:r>
          </w:p>
        </w:tc>
      </w:tr>
      <w:tr>
        <w:trPr>
          <w:cantSplit/>
        </w:trPr>
        <w:tc>
          <w:tcPr>
            <w:tcW w:type="dxa" w:w="3239"/>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Optional local test of the functions</w:t>
            </w:r>
          </w:p>
        </w:tc>
        <w:tc>
          <w:tcPr>
            <w:tcW w:type="dxa" w:w="3429"/>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Skipped; the course flags it as faulty</w:t>
            </w:r>
          </w:p>
        </w:tc>
        <w:tc>
          <w:tcPr>
            <w:tcW w:type="dxa" w:w="2858"/>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None</w:t>
            </w:r>
          </w:p>
        </w:tc>
      </w:tr>
    </w:tbl>
    <w:p>
      <w:pPr>
        <w:pStyle w:val="Heading1"/>
      </w:pPr>
      <w:r>
        <w:t xml:space="preserve">9. Path to the GitHub repository</w:t>
      </w:r>
    </w:p>
    <w:p>
      <w:pPr>
        <w:spacing w:after="120" w:line="288"/>
      </w:pPr>
      <w:r>
        <w:t xml:space="preserve">The official path keeps the project in a GitHub repository and lets GitHub Actions run the Toolkit. The grading rubric of the course gives this part 20% of the grade: it passes when production deploys from the </w:t>
      </w:r>
      <w:r>
        <w:rPr>
          <w:rFonts w:ascii="Consolas" w:cs="Consolas" w:eastAsia="Consolas" w:hAnsi="Consolas"/>
          <w:sz w:val="20"/>
          <w:szCs w:val="20"/>
        </w:rPr>
        <w:t xml:space="preserve">main</w:t>
      </w:r>
      <w:r>
        <w:t xml:space="preserve"> branch with a required review and </w:t>
      </w:r>
      <w:r>
        <w:rPr>
          <w:rFonts w:ascii="Consolas" w:cs="Consolas" w:eastAsia="Consolas" w:hAnsi="Consolas"/>
          <w:sz w:val="20"/>
          <w:szCs w:val="20"/>
        </w:rPr>
        <w:t xml:space="preserve">main</w:t>
      </w:r>
      <w:r>
        <w:t xml:space="preserve"> is protected by a mandatory pull request, and it fails when the test and production environments are not configured or when no GitHub Action has run successfully.</w:t>
      </w:r>
    </w:p>
    <w:p>
      <w:pPr>
        <w:keepNext/>
        <w:spacing w:after="120" w:line="288"/>
      </w:pPr>
      <w:r>
        <w:rPr>
          <w:b/>
          <w:bCs/>
        </w:rPr>
        <w:t xml:space="preserve">This part has been documented, not executed.</w:t>
      </w:r>
      <w:r>
        <w:t xml:space="preserve"> The step-by-step procedure is phase 13 of the HTML write-up. The local commands were rehearsed in a throwaway folder with dummy files; the two workflows have not yet run on GitHub. They are derived from the starter files shipped with Toolkit 0.6.53 and from the public Cognite documentation; the course page on deploying with GitHub Actions prevails if it differs.</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2382"/>
        <w:gridCol w:w="5620"/>
        <w:gridCol w:w="1524"/>
      </w:tblGrid>
      <w:tr>
        <w:trPr>
          <w:tblHeader/>
        </w:trPr>
        <w:tc>
          <w:tcPr>
            <w:tcW w:type="dxa" w:w="2382"/>
            <w:tcBorders>
              <w:top w:val="single" w:color="B8C4D6" w:sz="4"/>
              <w:left w:val="single" w:color="B8C4D6" w:sz="4"/>
              <w:bottom w:val="single" w:color="B8C4D6" w:sz="4"/>
              <w:right w:val="single" w:color="B8C4D6" w:sz="4"/>
            </w:tcBorders>
            <w:shd w:fill="E8EEF5" w:color="auto" w:val="clear"/>
            <w:tcMar>
              <w:top w:type="dxa" w:w="70"/>
              <w:left w:type="dxa" w:w="110"/>
              <w:bottom w:type="dxa" w:w="70"/>
              <w:right w:type="dxa" w:w="110"/>
            </w:tcMar>
            <w:vAlign w:val="center"/>
          </w:tcPr>
          <w:p>
            <w:pPr>
              <w:keepNext/>
              <w:jc w:val="left"/>
            </w:pPr>
            <w:r>
              <w:rPr>
                <w:b/>
                <w:bCs/>
                <w:color w:val="14213D"/>
                <w:sz w:val="18"/>
                <w:szCs w:val="18"/>
              </w:rPr>
              <w:t xml:space="preserve">Step</w:t>
            </w:r>
          </w:p>
        </w:tc>
        <w:tc>
          <w:tcPr>
            <w:tcW w:type="dxa" w:w="5620"/>
            <w:tcBorders>
              <w:top w:val="single" w:color="B8C4D6" w:sz="4"/>
              <w:left w:val="single" w:color="B8C4D6" w:sz="4"/>
              <w:bottom w:val="single" w:color="B8C4D6" w:sz="4"/>
              <w:right w:val="single" w:color="B8C4D6" w:sz="4"/>
            </w:tcBorders>
            <w:shd w:fill="E8EEF5" w:color="auto" w:val="clear"/>
            <w:tcMar>
              <w:top w:type="dxa" w:w="70"/>
              <w:left w:type="dxa" w:w="110"/>
              <w:bottom w:type="dxa" w:w="70"/>
              <w:right w:type="dxa" w:w="110"/>
            </w:tcMar>
            <w:vAlign w:val="center"/>
          </w:tcPr>
          <w:p>
            <w:pPr>
              <w:keepNext/>
              <w:jc w:val="left"/>
            </w:pPr>
            <w:r>
              <w:rPr>
                <w:b/>
                <w:bCs/>
                <w:color w:val="14213D"/>
                <w:sz w:val="18"/>
                <w:szCs w:val="18"/>
              </w:rPr>
              <w:t xml:space="preserve">What it does</w:t>
            </w:r>
          </w:p>
        </w:tc>
        <w:tc>
          <w:tcPr>
            <w:tcW w:type="dxa" w:w="1524"/>
            <w:tcBorders>
              <w:top w:val="single" w:color="B8C4D6" w:sz="4"/>
              <w:left w:val="single" w:color="B8C4D6" w:sz="4"/>
              <w:bottom w:val="single" w:color="B8C4D6" w:sz="4"/>
              <w:right w:val="single" w:color="B8C4D6" w:sz="4"/>
            </w:tcBorders>
            <w:shd w:fill="E8EEF5" w:color="auto" w:val="clear"/>
            <w:tcMar>
              <w:top w:type="dxa" w:w="70"/>
              <w:left w:type="dxa" w:w="110"/>
              <w:bottom w:type="dxa" w:w="70"/>
              <w:right w:type="dxa" w:w="110"/>
            </w:tcMar>
            <w:vAlign w:val="center"/>
          </w:tcPr>
          <w:p>
            <w:pPr>
              <w:keepNext/>
              <w:jc w:val="left"/>
            </w:pPr>
            <w:r>
              <w:rPr>
                <w:b/>
                <w:bCs/>
                <w:color w:val="14213D"/>
                <w:sz w:val="18"/>
                <w:szCs w:val="18"/>
              </w:rPr>
              <w:t xml:space="preserve">Where</w:t>
            </w:r>
          </w:p>
        </w:tc>
      </w:tr>
      <w:tr>
        <w:trPr>
          <w:cantSplit/>
        </w:trPr>
        <w:tc>
          <w:tcPr>
            <w:tcW w:type="dxa" w:w="2382"/>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b w:val="false"/>
                <w:bCs w:val="false"/>
                <w:color w:val="2B2B2B"/>
                <w:sz w:val="18"/>
                <w:szCs w:val="18"/>
              </w:rPr>
              <w:t xml:space="preserve">1. Repository and working copy</w:t>
            </w:r>
          </w:p>
        </w:tc>
        <w:tc>
          <w:tcPr>
            <w:tcW w:type="dxa" w:w="5620"/>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b w:val="false"/>
                <w:bCs w:val="false"/>
                <w:color w:val="2B2B2B"/>
                <w:sz w:val="18"/>
                <w:szCs w:val="18"/>
              </w:rPr>
              <w:t xml:space="preserve">Empty repository; copy of the modules and configuration files in a short folder outside the synchronised one; Git initialised with the Toolkit ignore list, completed for the production files</w:t>
            </w:r>
          </w:p>
        </w:tc>
        <w:tc>
          <w:tcPr>
            <w:tcW w:type="dxa" w:w="152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b w:val="false"/>
                <w:bCs w:val="false"/>
                <w:color w:val="2B2B2B"/>
                <w:sz w:val="18"/>
                <w:szCs w:val="18"/>
              </w:rPr>
              <w:t xml:space="preserve">GitHub, local</w:t>
            </w:r>
          </w:p>
        </w:tc>
      </w:tr>
      <w:tr>
        <w:trPr>
          <w:cantSplit/>
        </w:trPr>
        <w:tc>
          <w:tcPr>
            <w:tcW w:type="dxa" w:w="2382"/>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b w:val="false"/>
                <w:bCs w:val="false"/>
                <w:color w:val="2B2B2B"/>
                <w:sz w:val="18"/>
                <w:szCs w:val="18"/>
              </w:rPr>
              <w:t xml:space="preserve">2. Environments </w:t>
            </w:r>
            <w:r>
              <w:rPr>
                <w:rFonts w:ascii="Consolas" w:cs="Consolas" w:eastAsia="Consolas" w:hAnsi="Consolas"/>
                <w:b w:val="false"/>
                <w:bCs w:val="false"/>
                <w:color w:val="2B2B2B"/>
                <w:sz w:val="17"/>
                <w:szCs w:val="17"/>
              </w:rPr>
              <w:t xml:space="preserve">test</w:t>
            </w:r>
            <w:r>
              <w:rPr>
                <w:b w:val="false"/>
                <w:bCs w:val="false"/>
                <w:color w:val="2B2B2B"/>
                <w:sz w:val="18"/>
                <w:szCs w:val="18"/>
              </w:rPr>
              <w:t xml:space="preserve"> and </w:t>
            </w:r>
            <w:r>
              <w:rPr>
                <w:rFonts w:ascii="Consolas" w:cs="Consolas" w:eastAsia="Consolas" w:hAnsi="Consolas"/>
                <w:b w:val="false"/>
                <w:bCs w:val="false"/>
                <w:color w:val="2B2B2B"/>
                <w:sz w:val="17"/>
                <w:szCs w:val="17"/>
              </w:rPr>
              <w:t xml:space="preserve">prod</w:t>
            </w:r>
          </w:p>
        </w:tc>
        <w:tc>
          <w:tcPr>
            <w:tcW w:type="dxa" w:w="5620"/>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b w:val="false"/>
                <w:bCs w:val="false"/>
                <w:color w:val="2B2B2B"/>
                <w:sz w:val="18"/>
                <w:szCs w:val="18"/>
              </w:rPr>
              <w:t xml:space="preserve">Each holds the 14 values of the matching secrets file under the same names: 3 secrets and 11 variables. Production is restricted to deployments from </w:t>
            </w:r>
            <w:r>
              <w:rPr>
                <w:rFonts w:ascii="Consolas" w:cs="Consolas" w:eastAsia="Consolas" w:hAnsi="Consolas"/>
                <w:b w:val="false"/>
                <w:bCs w:val="false"/>
                <w:color w:val="2B2B2B"/>
                <w:sz w:val="17"/>
                <w:szCs w:val="17"/>
              </w:rPr>
              <w:t xml:space="preserve">main</w:t>
            </w:r>
          </w:p>
        </w:tc>
        <w:tc>
          <w:tcPr>
            <w:tcW w:type="dxa" w:w="152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b w:val="false"/>
                <w:bCs w:val="false"/>
                <w:color w:val="2B2B2B"/>
                <w:sz w:val="18"/>
                <w:szCs w:val="18"/>
              </w:rPr>
              <w:t xml:space="preserve">GitHub</w:t>
            </w:r>
          </w:p>
        </w:tc>
      </w:tr>
      <w:tr>
        <w:trPr>
          <w:cantSplit/>
        </w:trPr>
        <w:tc>
          <w:tcPr>
            <w:tcW w:type="dxa" w:w="2382"/>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b w:val="false"/>
                <w:bCs w:val="false"/>
                <w:color w:val="2B2B2B"/>
                <w:sz w:val="18"/>
                <w:szCs w:val="18"/>
              </w:rPr>
              <w:t xml:space="preserve">3. Protection of </w:t>
            </w:r>
            <w:r>
              <w:rPr>
                <w:rFonts w:ascii="Consolas" w:cs="Consolas" w:eastAsia="Consolas" w:hAnsi="Consolas"/>
                <w:b w:val="false"/>
                <w:bCs w:val="false"/>
                <w:color w:val="2B2B2B"/>
                <w:sz w:val="17"/>
                <w:szCs w:val="17"/>
              </w:rPr>
              <w:t xml:space="preserve">main</w:t>
            </w:r>
          </w:p>
        </w:tc>
        <w:tc>
          <w:tcPr>
            <w:tcW w:type="dxa" w:w="5620"/>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b w:val="false"/>
                <w:bCs w:val="false"/>
                <w:color w:val="2B2B2B"/>
                <w:sz w:val="18"/>
                <w:szCs w:val="18"/>
              </w:rPr>
              <w:t xml:space="preserve">A pull request and one approval are required; nobody pushes to </w:t>
            </w:r>
            <w:r>
              <w:rPr>
                <w:rFonts w:ascii="Consolas" w:cs="Consolas" w:eastAsia="Consolas" w:hAnsi="Consolas"/>
                <w:b w:val="false"/>
                <w:bCs w:val="false"/>
                <w:color w:val="2B2B2B"/>
                <w:sz w:val="17"/>
                <w:szCs w:val="17"/>
              </w:rPr>
              <w:t xml:space="preserve">main</w:t>
            </w:r>
            <w:r>
              <w:rPr>
                <w:b w:val="false"/>
                <w:bCs w:val="false"/>
                <w:color w:val="2B2B2B"/>
                <w:sz w:val="18"/>
                <w:szCs w:val="18"/>
              </w:rPr>
              <w:t xml:space="preserve"> directly</w:t>
            </w:r>
          </w:p>
        </w:tc>
        <w:tc>
          <w:tcPr>
            <w:tcW w:type="dxa" w:w="152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b w:val="false"/>
                <w:bCs w:val="false"/>
                <w:color w:val="2B2B2B"/>
                <w:sz w:val="18"/>
                <w:szCs w:val="18"/>
              </w:rPr>
              <w:t xml:space="preserve">GitHub</w:t>
            </w:r>
          </w:p>
        </w:tc>
      </w:tr>
      <w:tr>
        <w:trPr>
          <w:cantSplit/>
        </w:trPr>
        <w:tc>
          <w:tcPr>
            <w:tcW w:type="dxa" w:w="2382"/>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b w:val="false"/>
                <w:bCs w:val="false"/>
                <w:color w:val="2B2B2B"/>
                <w:sz w:val="18"/>
                <w:szCs w:val="18"/>
              </w:rPr>
              <w:t xml:space="preserve">4. Two workflows</w:t>
            </w:r>
          </w:p>
        </w:tc>
        <w:tc>
          <w:tcPr>
            <w:tcW w:type="dxa" w:w="5620"/>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b w:val="false"/>
                <w:bCs w:val="false"/>
                <w:color w:val="2B2B2B"/>
                <w:sz w:val="18"/>
                <w:szCs w:val="18"/>
              </w:rPr>
              <w:t xml:space="preserve">On every pull request, build and dry-run against test. On every merge into </w:t>
            </w:r>
            <w:r>
              <w:rPr>
                <w:rFonts w:ascii="Consolas" w:cs="Consolas" w:eastAsia="Consolas" w:hAnsi="Consolas"/>
                <w:b w:val="false"/>
                <w:bCs w:val="false"/>
                <w:color w:val="2B2B2B"/>
                <w:sz w:val="17"/>
                <w:szCs w:val="17"/>
              </w:rPr>
              <w:t xml:space="preserve">main</w:t>
            </w:r>
            <w:r>
              <w:rPr>
                <w:b w:val="false"/>
                <w:bCs w:val="false"/>
                <w:color w:val="2B2B2B"/>
                <w:sz w:val="18"/>
                <w:szCs w:val="18"/>
              </w:rPr>
              <w:t xml:space="preserve">, build and deploy to test, then to production if test succeeded</w:t>
            </w:r>
          </w:p>
        </w:tc>
        <w:tc>
          <w:tcPr>
            <w:tcW w:type="dxa" w:w="152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b w:val="false"/>
                <w:bCs w:val="false"/>
                <w:color w:val="2B2B2B"/>
                <w:sz w:val="18"/>
                <w:szCs w:val="18"/>
              </w:rPr>
              <w:t xml:space="preserve">Repository</w:t>
            </w:r>
          </w:p>
        </w:tc>
      </w:tr>
      <w:tr>
        <w:trPr>
          <w:cantSplit/>
        </w:trPr>
        <w:tc>
          <w:tcPr>
            <w:tcW w:type="dxa" w:w="2382"/>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5. First pull request and merge</w:t>
            </w:r>
          </w:p>
        </w:tc>
        <w:tc>
          <w:tcPr>
            <w:tcW w:type="dxa" w:w="5620"/>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Brings the workflows in through the protected path. Both projects being already deployed, the run is expected to create and delete nothing</w:t>
            </w:r>
          </w:p>
        </w:tc>
        <w:tc>
          <w:tcPr>
            <w:tcW w:type="dxa" w:w="152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GitHub</w:t>
            </w:r>
          </w:p>
        </w:tc>
      </w:tr>
    </w:tbl>
    <w:p>
      <w:pPr>
        <w:spacing w:after="80"/>
      </w:pPr>
    </w:p>
    <w:p>
      <w:pPr>
        <w:pStyle w:val="ListParagraph"/>
        <w:numPr>
          <w:ilvl w:val="0"/>
          <w:numId w:val="2"/>
        </w:numPr>
        <w:spacing w:after="70" w:line="280"/>
      </w:pPr>
      <w:r>
        <w:rPr>
          <w:b/>
          <w:bCs/>
        </w:rPr>
        <w:t xml:space="preserve">The Toolkit ignore list does not cover production.</w:t>
      </w:r>
      <w:r>
        <w:t xml:space="preserve"> It excludes </w:t>
      </w:r>
      <w:r>
        <w:rPr>
          <w:rFonts w:ascii="Consolas" w:cs="Consolas" w:eastAsia="Consolas" w:hAnsi="Consolas"/>
          <w:sz w:val="20"/>
          <w:szCs w:val="20"/>
        </w:rPr>
        <w:t xml:space="preserve">.env</w:t>
      </w:r>
      <w:r>
        <w:t xml:space="preserve"> and </w:t>
      </w:r>
      <w:r>
        <w:rPr>
          <w:rFonts w:ascii="Consolas" w:cs="Consolas" w:eastAsia="Consolas" w:hAnsi="Consolas"/>
          <w:sz w:val="20"/>
          <w:szCs w:val="20"/>
        </w:rPr>
        <w:t xml:space="preserve">build/</w:t>
      </w:r>
      <w:r>
        <w:t xml:space="preserve">, but neither </w:t>
      </w:r>
      <w:r>
        <w:rPr>
          <w:rFonts w:ascii="Consolas" w:cs="Consolas" w:eastAsia="Consolas" w:hAnsi="Consolas"/>
          <w:sz w:val="20"/>
          <w:szCs w:val="20"/>
        </w:rPr>
        <w:t xml:space="preserve">.env.prod</w:t>
      </w:r>
      <w:r>
        <w:t xml:space="preserve"> nor </w:t>
      </w:r>
      <w:r>
        <w:rPr>
          <w:rFonts w:ascii="Consolas" w:cs="Consolas" w:eastAsia="Consolas" w:hAnsi="Consolas"/>
          <w:sz w:val="20"/>
          <w:szCs w:val="20"/>
        </w:rPr>
        <w:t xml:space="preserve">build_prod/</w:t>
      </w:r>
      <w:r>
        <w:t xml:space="preserve">; three lines are added before the first commit.</w:t>
      </w:r>
    </w:p>
    <w:p>
      <w:pPr>
        <w:pStyle w:val="ListParagraph"/>
        <w:numPr>
          <w:ilvl w:val="0"/>
          <w:numId w:val="2"/>
        </w:numPr>
        <w:spacing w:after="70" w:line="280"/>
      </w:pPr>
      <w:r>
        <w:rPr>
          <w:b/>
          <w:bCs/>
        </w:rPr>
        <w:t xml:space="preserve">The starter workflows need adapting.</w:t>
      </w:r>
      <w:r>
        <w:t xml:space="preserve"> They target a single environment named </w:t>
      </w:r>
      <w:r>
        <w:rPr>
          <w:rFonts w:ascii="Consolas" w:cs="Consolas" w:eastAsia="Consolas" w:hAnsi="Consolas"/>
          <w:sz w:val="20"/>
          <w:szCs w:val="20"/>
        </w:rPr>
        <w:t xml:space="preserve">dev</w:t>
      </w:r>
      <w:r>
        <w:t xml:space="preserve"> and pass 5 of the 14 values the configuration needs.</w:t>
      </w:r>
    </w:p>
    <w:p>
      <w:pPr>
        <w:pStyle w:val="ListParagraph"/>
        <w:numPr>
          <w:ilvl w:val="0"/>
          <w:numId w:val="2"/>
        </w:numPr>
        <w:spacing w:after="70" w:line="280"/>
      </w:pPr>
      <w:r>
        <w:rPr>
          <w:b/>
          <w:bCs/>
        </w:rPr>
        <w:t xml:space="preserve">GitHub plan and reviewer.</w:t>
      </w:r>
      <w:r>
        <w:t xml:space="preserve"> On a free account, environments and branch protection exist only on a public repository, and the author of a pull request cannot approve it. Where the repository must live and who reviews are to be agreed with the instructor first.</w:t>
      </w:r>
    </w:p>
    <w:p>
      <w:pPr>
        <w:pStyle w:val="ListParagraph"/>
        <w:numPr>
          <w:ilvl w:val="0"/>
          <w:numId w:val="2"/>
        </w:numPr>
        <w:spacing w:after="70" w:line="280"/>
      </w:pPr>
      <w:r>
        <w:rPr>
          <w:b/>
          <w:bCs/>
        </w:rPr>
        <w:t xml:space="preserve">A merge is a real deployment.</w:t>
      </w:r>
      <w:r>
        <w:t xml:space="preserve"> Merging into </w:t>
      </w:r>
      <w:r>
        <w:rPr>
          <w:rFonts w:ascii="Consolas" w:cs="Consolas" w:eastAsia="Consolas" w:hAnsi="Consolas"/>
          <w:sz w:val="20"/>
          <w:szCs w:val="20"/>
        </w:rPr>
        <w:t xml:space="preserve">main</w:t>
      </w:r>
      <w:r>
        <w:t xml:space="preserve"> runs the Toolkit against both projects, production included; the dry-run of the pull request is read before merging.</w:t>
      </w:r>
    </w:p>
    <w:p>
      <w:pPr>
        <w:pStyle w:val="Heading1"/>
      </w:pPr>
      <w:r>
        <w:t xml:space="preserve">10. Lessons learned and recommendations</w:t>
      </w:r>
    </w:p>
    <w:p>
      <w:pPr>
        <w:pStyle w:val="ListParagraph"/>
        <w:numPr>
          <w:ilvl w:val="0"/>
          <w:numId w:val="2"/>
        </w:numPr>
        <w:spacing w:after="70" w:line="280"/>
      </w:pPr>
      <w:r>
        <w:rPr>
          <w:b/>
          <w:bCs/>
        </w:rPr>
        <w:t xml:space="preserve">Verify with counts, not statuses.</w:t>
      </w:r>
      <w:r>
        <w:t xml:space="preserve"> Deployed does not mean populated, and Completed does not mean correct. Every incident in this exercise was found by comparing a count with an expected value.</w:t>
      </w:r>
    </w:p>
    <w:p>
      <w:pPr>
        <w:pStyle w:val="ListParagraph"/>
        <w:numPr>
          <w:ilvl w:val="0"/>
          <w:numId w:val="2"/>
        </w:numPr>
        <w:spacing w:after="70" w:line="280"/>
      </w:pPr>
      <w:r>
        <w:rPr>
          <w:b/>
          <w:bCs/>
        </w:rPr>
        <w:t xml:space="preserve">Control effective access.</w:t>
      </w:r>
      <w:r>
        <w:t xml:space="preserve"> When access fails, check the rights an account actually obtains rather than the ones it was meant to have. The Entra to CDF chain can break in three places.</w:t>
      </w:r>
    </w:p>
    <w:p>
      <w:pPr>
        <w:pStyle w:val="ListParagraph"/>
        <w:numPr>
          <w:ilvl w:val="0"/>
          <w:numId w:val="2"/>
        </w:numPr>
        <w:spacing w:after="70" w:line="280"/>
      </w:pPr>
      <w:r>
        <w:rPr>
          <w:b/>
          <w:bCs/>
        </w:rPr>
        <w:t xml:space="preserve">Know which values the platform computes.</w:t>
      </w:r>
      <w:r>
        <w:t xml:space="preserve"> Derived properties such as </w:t>
      </w:r>
      <w:r>
        <w:rPr>
          <w:rFonts w:ascii="Consolas" w:cs="Consolas" w:eastAsia="Consolas" w:hAnsi="Consolas"/>
          <w:sz w:val="20"/>
          <w:szCs w:val="20"/>
        </w:rPr>
        <w:t xml:space="preserve">path</w:t>
      </w:r>
      <w:r>
        <w:t xml:space="preserve"> are not written by our code; they need their own control after each load.</w:t>
      </w:r>
    </w:p>
    <w:p>
      <w:pPr>
        <w:pStyle w:val="ListParagraph"/>
        <w:numPr>
          <w:ilvl w:val="0"/>
          <w:numId w:val="2"/>
        </w:numPr>
        <w:spacing w:after="70" w:line="280"/>
      </w:pPr>
      <w:r>
        <w:rPr>
          <w:b/>
          <w:bCs/>
        </w:rPr>
        <w:t xml:space="preserve">Read supplied code before running it.</w:t>
      </w:r>
      <w:r>
        <w:t xml:space="preserve"> Reading the functions is what revealed their dependency on </w:t>
      </w:r>
      <w:r>
        <w:rPr>
          <w:rFonts w:ascii="Consolas" w:cs="Consolas" w:eastAsia="Consolas" w:hAnsi="Consolas"/>
          <w:sz w:val="20"/>
          <w:szCs w:val="20"/>
        </w:rPr>
        <w:t xml:space="preserve">path</w:t>
      </w:r>
      <w:r>
        <w:t xml:space="preserve"> and their handling of errors.</w:t>
      </w:r>
    </w:p>
    <w:p>
      <w:pPr>
        <w:pStyle w:val="ListParagraph"/>
        <w:numPr>
          <w:ilvl w:val="0"/>
          <w:numId w:val="2"/>
        </w:numPr>
        <w:spacing w:after="70" w:line="280"/>
      </w:pPr>
      <w:r>
        <w:rPr>
          <w:b/>
          <w:bCs/>
        </w:rPr>
        <w:t xml:space="preserve">Deploy in dependency order.</w:t>
      </w:r>
      <w:r>
        <w:t xml:space="preserve"> Access first, then whatever starts running by itself.</w:t>
      </w:r>
    </w:p>
    <w:p>
      <w:pPr>
        <w:pStyle w:val="ListParagraph"/>
        <w:numPr>
          <w:ilvl w:val="0"/>
          <w:numId w:val="2"/>
        </w:numPr>
        <w:spacing w:after="70" w:line="280"/>
      </w:pPr>
      <w:r>
        <w:rPr>
          <w:b/>
          <w:bCs/>
        </w:rPr>
        <w:t xml:space="preserve">Explain an indicator from its raw signals,</w:t>
      </w:r>
      <w:r>
        <w:t xml:space="preserve"> and know its exact definition: here OEE drops because the machine stops, and half of those stops were planned.</w:t>
      </w:r>
    </w:p>
    <w:p>
      <w:pPr>
        <w:pStyle w:val="ListParagraph"/>
        <w:numPr>
          <w:ilvl w:val="0"/>
          <w:numId w:val="2"/>
        </w:numPr>
        <w:spacing w:after="70" w:line="280"/>
      </w:pPr>
      <w:r>
        <w:rPr>
          <w:b/>
          <w:bCs/>
        </w:rPr>
        <w:t xml:space="preserve">Pin tool versions</w:t>
      </w:r>
      <w:r>
        <w:t xml:space="preserve"> and keep the build and secrets of each environment separate and explicit.</w:t>
      </w:r>
    </w:p>
    <w:p>
      <w:pPr>
        <w:pStyle w:val="ListParagraph"/>
        <w:numPr>
          <w:ilvl w:val="0"/>
          <w:numId w:val="2"/>
        </w:numPr>
        <w:spacing w:after="70" w:line="280"/>
      </w:pPr>
      <w:r>
        <w:rPr>
          <w:b/>
          <w:bCs/>
        </w:rPr>
        <w:t xml:space="preserve">For real projects,</w:t>
      </w:r>
      <w:r>
        <w:t xml:space="preserve"> keep secrets outside synchronised folders or in a secrets vault, and run deployments from a pipeline with a review step for production, as the course recommends.</w:t>
      </w:r>
    </w:p>
    <w:p>
      <w:pPr>
        <w:pStyle w:val="Heading1"/>
      </w:pPr>
      <w:r>
        <w:t xml:space="preserve">11. Status and next steps</w:t>
      </w:r>
    </w:p>
    <w:p>
      <w:pPr>
        <w:keepNext/>
        <w:spacing w:after="120" w:line="288"/>
      </w:pPr>
      <w:r>
        <w:t xml:space="preserve">The course grades four components, each passed at 70%:</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1905"/>
        <w:gridCol w:w="953"/>
        <w:gridCol w:w="5144"/>
        <w:gridCol w:w="1524"/>
      </w:tblGrid>
      <w:tr>
        <w:trPr>
          <w:tblHeader/>
        </w:trPr>
        <w:tc>
          <w:tcPr>
            <w:tcW w:type="dxa" w:w="1905"/>
            <w:tcBorders>
              <w:top w:val="single" w:color="B8C4D6" w:sz="4"/>
              <w:left w:val="single" w:color="B8C4D6" w:sz="4"/>
              <w:bottom w:val="single" w:color="B8C4D6" w:sz="4"/>
              <w:right w:val="single" w:color="B8C4D6" w:sz="4"/>
            </w:tcBorders>
            <w:shd w:fill="E8EEF5" w:color="auto" w:val="clear"/>
            <w:tcMar>
              <w:top w:type="dxa" w:w="70"/>
              <w:left w:type="dxa" w:w="110"/>
              <w:bottom w:type="dxa" w:w="70"/>
              <w:right w:type="dxa" w:w="110"/>
            </w:tcMar>
            <w:vAlign w:val="center"/>
          </w:tcPr>
          <w:p>
            <w:pPr>
              <w:keepNext/>
              <w:jc w:val="left"/>
            </w:pPr>
            <w:r>
              <w:rPr>
                <w:b/>
                <w:bCs/>
                <w:color w:val="14213D"/>
                <w:sz w:val="18"/>
                <w:szCs w:val="18"/>
              </w:rPr>
              <w:t xml:space="preserve">Component</w:t>
            </w:r>
          </w:p>
        </w:tc>
        <w:tc>
          <w:tcPr>
            <w:tcW w:type="dxa" w:w="953"/>
            <w:tcBorders>
              <w:top w:val="single" w:color="B8C4D6" w:sz="4"/>
              <w:left w:val="single" w:color="B8C4D6" w:sz="4"/>
              <w:bottom w:val="single" w:color="B8C4D6" w:sz="4"/>
              <w:right w:val="single" w:color="B8C4D6" w:sz="4"/>
            </w:tcBorders>
            <w:shd w:fill="E8EEF5" w:color="auto" w:val="clear"/>
            <w:tcMar>
              <w:top w:type="dxa" w:w="70"/>
              <w:left w:type="dxa" w:w="110"/>
              <w:bottom w:type="dxa" w:w="70"/>
              <w:right w:type="dxa" w:w="110"/>
            </w:tcMar>
            <w:vAlign w:val="center"/>
          </w:tcPr>
          <w:p>
            <w:pPr>
              <w:keepNext/>
              <w:jc w:val="right"/>
            </w:pPr>
            <w:r>
              <w:rPr>
                <w:b/>
                <w:bCs/>
                <w:color w:val="14213D"/>
                <w:sz w:val="18"/>
                <w:szCs w:val="18"/>
              </w:rPr>
              <w:t xml:space="preserve">Weight</w:t>
            </w:r>
          </w:p>
        </w:tc>
        <w:tc>
          <w:tcPr>
            <w:tcW w:type="dxa" w:w="5144"/>
            <w:tcBorders>
              <w:top w:val="single" w:color="B8C4D6" w:sz="4"/>
              <w:left w:val="single" w:color="B8C4D6" w:sz="4"/>
              <w:bottom w:val="single" w:color="B8C4D6" w:sz="4"/>
              <w:right w:val="single" w:color="B8C4D6" w:sz="4"/>
            </w:tcBorders>
            <w:shd w:fill="E8EEF5" w:color="auto" w:val="clear"/>
            <w:tcMar>
              <w:top w:type="dxa" w:w="70"/>
              <w:left w:type="dxa" w:w="110"/>
              <w:bottom w:type="dxa" w:w="70"/>
              <w:right w:type="dxa" w:w="110"/>
            </w:tcMar>
            <w:vAlign w:val="center"/>
          </w:tcPr>
          <w:p>
            <w:pPr>
              <w:keepNext/>
              <w:jc w:val="left"/>
            </w:pPr>
            <w:r>
              <w:rPr>
                <w:b/>
                <w:bCs/>
                <w:color w:val="14213D"/>
                <w:sz w:val="18"/>
                <w:szCs w:val="18"/>
              </w:rPr>
              <w:t xml:space="preserve">Expected</w:t>
            </w:r>
          </w:p>
        </w:tc>
        <w:tc>
          <w:tcPr>
            <w:tcW w:type="dxa" w:w="1524"/>
            <w:tcBorders>
              <w:top w:val="single" w:color="B8C4D6" w:sz="4"/>
              <w:left w:val="single" w:color="B8C4D6" w:sz="4"/>
              <w:bottom w:val="single" w:color="B8C4D6" w:sz="4"/>
              <w:right w:val="single" w:color="B8C4D6" w:sz="4"/>
            </w:tcBorders>
            <w:shd w:fill="E8EEF5" w:color="auto" w:val="clear"/>
            <w:tcMar>
              <w:top w:type="dxa" w:w="70"/>
              <w:left w:type="dxa" w:w="110"/>
              <w:bottom w:type="dxa" w:w="70"/>
              <w:right w:type="dxa" w:w="110"/>
            </w:tcMar>
            <w:vAlign w:val="center"/>
          </w:tcPr>
          <w:p>
            <w:pPr>
              <w:keepNext/>
              <w:jc w:val="left"/>
            </w:pPr>
            <w:r>
              <w:rPr>
                <w:b/>
                <w:bCs/>
                <w:color w:val="14213D"/>
                <w:sz w:val="18"/>
                <w:szCs w:val="18"/>
              </w:rPr>
              <w:t xml:space="preserve">Position</w:t>
            </w:r>
          </w:p>
        </w:tc>
      </w:tr>
      <w:tr>
        <w:trPr>
          <w:cantSplit/>
        </w:trPr>
        <w:tc>
          <w:tcPr>
            <w:tcW w:type="dxa" w:w="1905"/>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b w:val="false"/>
                <w:bCs w:val="false"/>
                <w:color w:val="2B2B2B"/>
                <w:sz w:val="18"/>
                <w:szCs w:val="18"/>
              </w:rPr>
              <w:t xml:space="preserve">CDF projects</w:t>
            </w:r>
          </w:p>
        </w:tc>
        <w:tc>
          <w:tcPr>
            <w:tcW w:type="dxa" w:w="953"/>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right"/>
            </w:pPr>
            <w:r>
              <w:rPr>
                <w:b w:val="false"/>
                <w:bCs w:val="false"/>
                <w:color w:val="2B2B2B"/>
                <w:sz w:val="18"/>
                <w:szCs w:val="18"/>
              </w:rPr>
              <w:t xml:space="preserve">40%</w:t>
            </w:r>
          </w:p>
        </w:tc>
        <w:tc>
          <w:tcPr>
            <w:tcW w:type="dxa" w:w="514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b w:val="false"/>
                <w:bCs w:val="false"/>
                <w:color w:val="2B2B2B"/>
                <w:sz w:val="18"/>
                <w:szCs w:val="18"/>
              </w:rPr>
              <w:t xml:space="preserve">All data present in test and production</w:t>
            </w:r>
          </w:p>
        </w:tc>
        <w:tc>
          <w:tcPr>
            <w:tcW w:type="dxa" w:w="152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b w:val="false"/>
                <w:bCs w:val="false"/>
                <w:color w:val="1E7B4F"/>
                <w:sz w:val="18"/>
                <w:szCs w:val="18"/>
              </w:rPr>
              <w:t xml:space="preserve">Done</w:t>
            </w:r>
          </w:p>
        </w:tc>
      </w:tr>
      <w:tr>
        <w:trPr>
          <w:cantSplit/>
        </w:trPr>
        <w:tc>
          <w:tcPr>
            <w:tcW w:type="dxa" w:w="1905"/>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b w:val="false"/>
                <w:bCs w:val="false"/>
                <w:color w:val="2B2B2B"/>
                <w:sz w:val="18"/>
                <w:szCs w:val="18"/>
              </w:rPr>
              <w:t xml:space="preserve">Canvas</w:t>
            </w:r>
          </w:p>
        </w:tc>
        <w:tc>
          <w:tcPr>
            <w:tcW w:type="dxa" w:w="953"/>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right"/>
            </w:pPr>
            <w:r>
              <w:rPr>
                <w:b w:val="false"/>
                <w:bCs w:val="false"/>
                <w:color w:val="2B2B2B"/>
                <w:sz w:val="18"/>
                <w:szCs w:val="18"/>
              </w:rPr>
              <w:t xml:space="preserve">20%</w:t>
            </w:r>
          </w:p>
        </w:tc>
        <w:tc>
          <w:tcPr>
            <w:tcW w:type="dxa" w:w="514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b w:val="false"/>
                <w:bCs w:val="false"/>
                <w:color w:val="2B2B2B"/>
                <w:sz w:val="18"/>
                <w:szCs w:val="18"/>
              </w:rPr>
              <w:t xml:space="preserve">A complete canvas. Built, but it shows "Private charts": its visibility for the instructor is to be checked</w:t>
            </w:r>
          </w:p>
        </w:tc>
        <w:tc>
          <w:tcPr>
            <w:tcW w:type="dxa" w:w="152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b w:val="false"/>
                <w:bCs w:val="false"/>
                <w:color w:val="9A6700"/>
                <w:sz w:val="18"/>
                <w:szCs w:val="18"/>
              </w:rPr>
              <w:t xml:space="preserve">To confirm</w:t>
            </w:r>
          </w:p>
        </w:tc>
      </w:tr>
      <w:tr>
        <w:trPr>
          <w:cantSplit/>
        </w:trPr>
        <w:tc>
          <w:tcPr>
            <w:tcW w:type="dxa" w:w="1905"/>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b w:val="false"/>
                <w:bCs w:val="false"/>
                <w:color w:val="2B2B2B"/>
                <w:sz w:val="18"/>
                <w:szCs w:val="18"/>
              </w:rPr>
              <w:t xml:space="preserve">GitHub repository</w:t>
            </w:r>
          </w:p>
        </w:tc>
        <w:tc>
          <w:tcPr>
            <w:tcW w:type="dxa" w:w="953"/>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right"/>
            </w:pPr>
            <w:r>
              <w:rPr>
                <w:b w:val="false"/>
                <w:bCs w:val="false"/>
                <w:color w:val="2B2B2B"/>
                <w:sz w:val="18"/>
                <w:szCs w:val="18"/>
              </w:rPr>
              <w:t xml:space="preserve">20%</w:t>
            </w:r>
          </w:p>
        </w:tc>
        <w:tc>
          <w:tcPr>
            <w:tcW w:type="dxa" w:w="514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b w:val="false"/>
                <w:bCs w:val="false"/>
                <w:color w:val="2B2B2B"/>
                <w:sz w:val="18"/>
                <w:szCs w:val="18"/>
              </w:rPr>
              <w:t xml:space="preserve">Production deployed from </w:t>
            </w:r>
            <w:r>
              <w:rPr>
                <w:rFonts w:ascii="Consolas" w:cs="Consolas" w:eastAsia="Consolas" w:hAnsi="Consolas"/>
                <w:b w:val="false"/>
                <w:bCs w:val="false"/>
                <w:color w:val="2B2B2B"/>
                <w:sz w:val="17"/>
                <w:szCs w:val="17"/>
              </w:rPr>
              <w:t xml:space="preserve">main</w:t>
            </w:r>
            <w:r>
              <w:rPr>
                <w:b w:val="false"/>
                <w:bCs w:val="false"/>
                <w:color w:val="2B2B2B"/>
                <w:sz w:val="18"/>
                <w:szCs w:val="18"/>
              </w:rPr>
              <w:t xml:space="preserve"> with a required review, </w:t>
            </w:r>
            <w:r>
              <w:rPr>
                <w:rFonts w:ascii="Consolas" w:cs="Consolas" w:eastAsia="Consolas" w:hAnsi="Consolas"/>
                <w:b w:val="false"/>
                <w:bCs w:val="false"/>
                <w:color w:val="2B2B2B"/>
                <w:sz w:val="17"/>
                <w:szCs w:val="17"/>
              </w:rPr>
              <w:t xml:space="preserve">main</w:t>
            </w:r>
            <w:r>
              <w:rPr>
                <w:b w:val="false"/>
                <w:bCs w:val="false"/>
                <w:color w:val="2B2B2B"/>
                <w:sz w:val="18"/>
                <w:szCs w:val="18"/>
              </w:rPr>
              <w:t xml:space="preserve"> protected, GitHub Actions succeeded. Not done; the procedure is ready (section 9)</w:t>
            </w:r>
          </w:p>
        </w:tc>
        <w:tc>
          <w:tcPr>
            <w:tcW w:type="dxa" w:w="152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b w:val="false"/>
                <w:bCs w:val="false"/>
                <w:color w:val="9A6700"/>
                <w:sz w:val="18"/>
                <w:szCs w:val="18"/>
              </w:rPr>
              <w:t xml:space="preserve">To do</w:t>
            </w:r>
          </w:p>
        </w:tc>
      </w:tr>
      <w:tr>
        <w:trPr>
          <w:cantSplit/>
        </w:trPr>
        <w:tc>
          <w:tcPr>
            <w:tcW w:type="dxa" w:w="1905"/>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Post-bootcamp quiz</w:t>
            </w:r>
          </w:p>
        </w:tc>
        <w:tc>
          <w:tcPr>
            <w:tcW w:type="dxa" w:w="953"/>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right"/>
            </w:pPr>
            <w:r>
              <w:rPr>
                <w:b w:val="false"/>
                <w:bCs w:val="false"/>
                <w:color w:val="2B2B2B"/>
                <w:sz w:val="18"/>
                <w:szCs w:val="18"/>
              </w:rPr>
              <w:t xml:space="preserve">20%</w:t>
            </w:r>
          </w:p>
        </w:tc>
        <w:tc>
          <w:tcPr>
            <w:tcW w:type="dxa" w:w="514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70% correct answers</w:t>
            </w:r>
          </w:p>
        </w:tc>
        <w:tc>
          <w:tcPr>
            <w:tcW w:type="dxa" w:w="152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9A6700"/>
                <w:sz w:val="18"/>
                <w:szCs w:val="18"/>
              </w:rPr>
              <w:t xml:space="preserve">To do</w:t>
            </w:r>
          </w:p>
        </w:tc>
      </w:tr>
    </w:tbl>
    <w:p>
      <w:pPr>
        <w:spacing w:after="160" w:before="80"/>
        <w:rPr>
          <w:i/>
          <w:iCs/>
          <w:color w:val="5F6B7A"/>
          <w:sz w:val="18"/>
          <w:szCs w:val="18"/>
        </w:rPr>
      </w:pPr>
      <w:r>
        <w:rPr>
          <w:i/>
          <w:iCs/>
          <w:color w:val="5F6B7A"/>
          <w:sz w:val="18"/>
          <w:szCs w:val="18"/>
        </w:rPr>
        <w:t xml:space="preserve">Rubric shown at the start of the training deck. The same deck holds another version with other weights (50, 10, 20, 20) and one more condition, the Cognite Academy "CDF Fundamentals" path completed; both points are to be confirmed with the instructor.</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4001"/>
        <w:gridCol w:w="1524"/>
        <w:gridCol w:w="4001"/>
      </w:tblGrid>
      <w:tr>
        <w:trPr>
          <w:tblHeader/>
        </w:trPr>
        <w:tc>
          <w:tcPr>
            <w:tcW w:type="dxa" w:w="4001"/>
            <w:tcBorders>
              <w:top w:val="single" w:color="B8C4D6" w:sz="4"/>
              <w:left w:val="single" w:color="B8C4D6" w:sz="4"/>
              <w:bottom w:val="single" w:color="B8C4D6" w:sz="4"/>
              <w:right w:val="single" w:color="B8C4D6" w:sz="4"/>
            </w:tcBorders>
            <w:shd w:fill="E8EEF5" w:color="auto" w:val="clear"/>
            <w:tcMar>
              <w:top w:type="dxa" w:w="70"/>
              <w:left w:type="dxa" w:w="110"/>
              <w:bottom w:type="dxa" w:w="70"/>
              <w:right w:type="dxa" w:w="110"/>
            </w:tcMar>
            <w:vAlign w:val="center"/>
          </w:tcPr>
          <w:p>
            <w:pPr>
              <w:keepNext/>
              <w:jc w:val="left"/>
            </w:pPr>
            <w:r>
              <w:rPr>
                <w:b/>
                <w:bCs/>
                <w:color w:val="14213D"/>
                <w:sz w:val="18"/>
                <w:szCs w:val="18"/>
              </w:rPr>
              <w:t xml:space="preserve">Item</w:t>
            </w:r>
          </w:p>
        </w:tc>
        <w:tc>
          <w:tcPr>
            <w:tcW w:type="dxa" w:w="1524"/>
            <w:tcBorders>
              <w:top w:val="single" w:color="B8C4D6" w:sz="4"/>
              <w:left w:val="single" w:color="B8C4D6" w:sz="4"/>
              <w:bottom w:val="single" w:color="B8C4D6" w:sz="4"/>
              <w:right w:val="single" w:color="B8C4D6" w:sz="4"/>
            </w:tcBorders>
            <w:shd w:fill="E8EEF5" w:color="auto" w:val="clear"/>
            <w:tcMar>
              <w:top w:type="dxa" w:w="70"/>
              <w:left w:type="dxa" w:w="110"/>
              <w:bottom w:type="dxa" w:w="70"/>
              <w:right w:type="dxa" w:w="110"/>
            </w:tcMar>
            <w:vAlign w:val="center"/>
          </w:tcPr>
          <w:p>
            <w:pPr>
              <w:keepNext/>
              <w:jc w:val="left"/>
            </w:pPr>
            <w:r>
              <w:rPr>
                <w:b/>
                <w:bCs/>
                <w:color w:val="14213D"/>
                <w:sz w:val="18"/>
                <w:szCs w:val="18"/>
              </w:rPr>
              <w:t xml:space="preserve">Status</w:t>
            </w:r>
          </w:p>
        </w:tc>
        <w:tc>
          <w:tcPr>
            <w:tcW w:type="dxa" w:w="4001"/>
            <w:tcBorders>
              <w:top w:val="single" w:color="B8C4D6" w:sz="4"/>
              <w:left w:val="single" w:color="B8C4D6" w:sz="4"/>
              <w:bottom w:val="single" w:color="B8C4D6" w:sz="4"/>
              <w:right w:val="single" w:color="B8C4D6" w:sz="4"/>
            </w:tcBorders>
            <w:shd w:fill="E8EEF5" w:color="auto" w:val="clear"/>
            <w:tcMar>
              <w:top w:type="dxa" w:w="70"/>
              <w:left w:type="dxa" w:w="110"/>
              <w:bottom w:type="dxa" w:w="70"/>
              <w:right w:type="dxa" w:w="110"/>
            </w:tcMar>
            <w:vAlign w:val="center"/>
          </w:tcPr>
          <w:p>
            <w:pPr>
              <w:keepNext/>
              <w:jc w:val="left"/>
            </w:pPr>
            <w:r>
              <w:rPr>
                <w:b/>
                <w:bCs/>
                <w:color w:val="14213D"/>
                <w:sz w:val="18"/>
                <w:szCs w:val="18"/>
              </w:rPr>
              <w:t xml:space="preserve">Comment</w:t>
            </w:r>
          </w:p>
        </w:tc>
      </w:tr>
      <w:tr>
        <w:trPr>
          <w:cantSplit/>
        </w:trPr>
        <w:tc>
          <w:tcPr>
            <w:tcW w:type="dxa" w:w="4001"/>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b w:val="false"/>
                <w:bCs w:val="false"/>
                <w:color w:val="2B2B2B"/>
                <w:sz w:val="18"/>
                <w:szCs w:val="18"/>
              </w:rPr>
              <w:t xml:space="preserve">Days 1 to 3 in test and production</w:t>
            </w:r>
          </w:p>
        </w:tc>
        <w:tc>
          <w:tcPr>
            <w:tcW w:type="dxa" w:w="152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b w:val="false"/>
                <w:bCs w:val="false"/>
                <w:color w:val="1E7B4F"/>
                <w:sz w:val="18"/>
                <w:szCs w:val="18"/>
              </w:rPr>
              <w:t xml:space="preserve">Done</w:t>
            </w:r>
          </w:p>
        </w:tc>
        <w:tc>
          <w:tcPr>
            <w:tcW w:type="dxa" w:w="4001"/>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b w:val="false"/>
                <w:bCs w:val="false"/>
                <w:color w:val="2B2B2B"/>
                <w:sz w:val="18"/>
                <w:szCs w:val="18"/>
              </w:rPr>
              <w:t xml:space="preserve">Verified by the health check on 6 October</w:t>
            </w:r>
          </w:p>
        </w:tc>
      </w:tr>
      <w:tr>
        <w:trPr>
          <w:cantSplit/>
        </w:trPr>
        <w:tc>
          <w:tcPr>
            <w:tcW w:type="dxa" w:w="4001"/>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b w:val="false"/>
                <w:bCs w:val="false"/>
                <w:color w:val="2B2B2B"/>
                <w:sz w:val="18"/>
                <w:szCs w:val="18"/>
              </w:rPr>
              <w:t xml:space="preserve">Charts: OEE chart, calculation and alert</w:t>
            </w:r>
          </w:p>
        </w:tc>
        <w:tc>
          <w:tcPr>
            <w:tcW w:type="dxa" w:w="152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b w:val="false"/>
                <w:bCs w:val="false"/>
                <w:color w:val="1E7B4F"/>
                <w:sz w:val="18"/>
                <w:szCs w:val="18"/>
              </w:rPr>
              <w:t xml:space="preserve">Done</w:t>
            </w:r>
          </w:p>
        </w:tc>
        <w:tc>
          <w:tcPr>
            <w:tcW w:type="dxa" w:w="4001"/>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b w:val="false"/>
                <w:bCs w:val="false"/>
                <w:color w:val="2B2B2B"/>
                <w:sz w:val="18"/>
                <w:szCs w:val="18"/>
              </w:rPr>
              <w:t xml:space="preserve">In the production project; calculation and alert read back in Charts</w:t>
            </w:r>
          </w:p>
        </w:tc>
      </w:tr>
      <w:tr>
        <w:trPr>
          <w:cantSplit/>
        </w:trPr>
        <w:tc>
          <w:tcPr>
            <w:tcW w:type="dxa" w:w="4001"/>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b w:val="false"/>
                <w:bCs w:val="false"/>
                <w:color w:val="2B2B2B"/>
                <w:sz w:val="18"/>
                <w:szCs w:val="18"/>
              </w:rPr>
              <w:t xml:space="preserve">Canvas: P&amp;ID upload and root cause analysis</w:t>
            </w:r>
          </w:p>
        </w:tc>
        <w:tc>
          <w:tcPr>
            <w:tcW w:type="dxa" w:w="152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b w:val="false"/>
                <w:bCs w:val="false"/>
                <w:color w:val="1E7B4F"/>
                <w:sz w:val="18"/>
                <w:szCs w:val="18"/>
              </w:rPr>
              <w:t xml:space="preserve">Done</w:t>
            </w:r>
          </w:p>
        </w:tc>
        <w:tc>
          <w:tcPr>
            <w:tcW w:type="dxa" w:w="4001"/>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b w:val="false"/>
                <w:bCs w:val="false"/>
                <w:color w:val="2B2B2B"/>
                <w:sz w:val="18"/>
                <w:szCs w:val="18"/>
              </w:rPr>
              <w:t xml:space="preserve">Drawing, asset, six series, chart, one rectangle and one note; read back through the API</w:t>
            </w:r>
          </w:p>
        </w:tc>
      </w:tr>
      <w:tr>
        <w:trPr>
          <w:cantSplit/>
        </w:trPr>
        <w:tc>
          <w:tcPr>
            <w:tcW w:type="dxa" w:w="4001"/>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b w:val="false"/>
                <w:bCs w:val="false"/>
                <w:color w:val="2B2B2B"/>
                <w:sz w:val="18"/>
                <w:szCs w:val="18"/>
              </w:rPr>
              <w:t xml:space="preserve">Post-bootcamp quiz</w:t>
            </w:r>
          </w:p>
        </w:tc>
        <w:tc>
          <w:tcPr>
            <w:tcW w:type="dxa" w:w="152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b w:val="false"/>
                <w:bCs w:val="false"/>
                <w:color w:val="9A6700"/>
                <w:sz w:val="18"/>
                <w:szCs w:val="18"/>
              </w:rPr>
              <w:t xml:space="preserve">To do</w:t>
            </w:r>
          </w:p>
        </w:tc>
        <w:tc>
          <w:tcPr>
            <w:tcW w:type="dxa" w:w="4001"/>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b w:val="false"/>
                <w:bCs w:val="false"/>
                <w:color w:val="2B2B2B"/>
                <w:sz w:val="18"/>
                <w:szCs w:val="18"/>
              </w:rPr>
              <w:t xml:space="preserve">Pass mark 70%</w:t>
            </w:r>
          </w:p>
        </w:tc>
      </w:tr>
      <w:tr>
        <w:trPr>
          <w:cantSplit/>
        </w:trPr>
        <w:tc>
          <w:tcPr>
            <w:tcW w:type="dxa" w:w="4001"/>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b w:val="false"/>
                <w:bCs w:val="false"/>
                <w:color w:val="2B2B2B"/>
                <w:sz w:val="18"/>
                <w:szCs w:val="18"/>
              </w:rPr>
              <w:t xml:space="preserve">Canvas and chart visible to the instructor</w:t>
            </w:r>
          </w:p>
        </w:tc>
        <w:tc>
          <w:tcPr>
            <w:tcW w:type="dxa" w:w="152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b w:val="false"/>
                <w:bCs w:val="false"/>
                <w:color w:val="9A6700"/>
                <w:sz w:val="18"/>
                <w:szCs w:val="18"/>
              </w:rPr>
              <w:t xml:space="preserve">To confirm</w:t>
            </w:r>
          </w:p>
        </w:tc>
        <w:tc>
          <w:tcPr>
            <w:tcW w:type="dxa" w:w="4001"/>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b w:val="false"/>
                <w:bCs w:val="false"/>
                <w:color w:val="2B2B2B"/>
                <w:sz w:val="18"/>
                <w:szCs w:val="18"/>
              </w:rPr>
              <w:t xml:space="preserve">The canvas shows "Private charts"; the chart </w:t>
            </w:r>
            <w:r>
              <w:rPr>
                <w:rFonts w:ascii="Consolas" w:cs="Consolas" w:eastAsia="Consolas" w:hAnsi="Consolas"/>
                <w:b w:val="false"/>
                <w:bCs w:val="false"/>
                <w:color w:val="2B2B2B"/>
                <w:sz w:val="17"/>
                <w:szCs w:val="17"/>
              </w:rPr>
              <w:t xml:space="preserve">test_gd</w:t>
            </w:r>
            <w:r>
              <w:rPr>
                <w:b w:val="false"/>
                <w:bCs w:val="false"/>
                <w:color w:val="2B2B2B"/>
                <w:sz w:val="18"/>
                <w:szCs w:val="18"/>
              </w:rPr>
              <w:t xml:space="preserve"> is private</w:t>
            </w:r>
          </w:p>
        </w:tc>
      </w:tr>
      <w:tr>
        <w:trPr>
          <w:cantSplit/>
        </w:trPr>
        <w:tc>
          <w:tcPr>
            <w:tcW w:type="dxa" w:w="4001"/>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GitHub repository and GitHub Actions</w:t>
            </w:r>
          </w:p>
        </w:tc>
        <w:tc>
          <w:tcPr>
            <w:tcW w:type="dxa" w:w="1524"/>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9A6700"/>
                <w:sz w:val="18"/>
                <w:szCs w:val="18"/>
              </w:rPr>
              <w:t xml:space="preserve">To do</w:t>
            </w:r>
          </w:p>
        </w:tc>
        <w:tc>
          <w:tcPr>
            <w:tcW w:type="dxa" w:w="4001"/>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Procedure documented (section 9), not executed; repository location and reviewer to be agreed with the instructor</w:t>
            </w:r>
          </w:p>
        </w:tc>
      </w:tr>
    </w:tbl>
    <w:p>
      <w:pPr>
        <w:pStyle w:val="Heading1"/>
        <w:pageBreakBefore/>
      </w:pPr>
      <w:r>
        <w:t xml:space="preserve">Appendix A. Deliverables in the project folder</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3810"/>
        <w:gridCol w:w="5716"/>
      </w:tblGrid>
      <w:tr>
        <w:trPr>
          <w:tblHeader/>
        </w:trPr>
        <w:tc>
          <w:tcPr>
            <w:tcW w:type="dxa" w:w="3810"/>
            <w:tcBorders>
              <w:top w:val="single" w:color="B8C4D6" w:sz="4"/>
              <w:left w:val="single" w:color="B8C4D6" w:sz="4"/>
              <w:bottom w:val="single" w:color="B8C4D6" w:sz="4"/>
              <w:right w:val="single" w:color="B8C4D6" w:sz="4"/>
            </w:tcBorders>
            <w:shd w:fill="E8EEF5" w:color="auto" w:val="clear"/>
            <w:tcMar>
              <w:top w:type="dxa" w:w="70"/>
              <w:left w:type="dxa" w:w="110"/>
              <w:bottom w:type="dxa" w:w="70"/>
              <w:right w:type="dxa" w:w="110"/>
            </w:tcMar>
            <w:vAlign w:val="center"/>
          </w:tcPr>
          <w:p>
            <w:pPr>
              <w:keepNext w:val="false"/>
              <w:jc w:val="left"/>
            </w:pPr>
            <w:r>
              <w:rPr>
                <w:b/>
                <w:bCs/>
                <w:color w:val="14213D"/>
                <w:sz w:val="18"/>
                <w:szCs w:val="18"/>
              </w:rPr>
              <w:t xml:space="preserve">File or folder</w:t>
            </w:r>
          </w:p>
        </w:tc>
        <w:tc>
          <w:tcPr>
            <w:tcW w:type="dxa" w:w="5716"/>
            <w:tcBorders>
              <w:top w:val="single" w:color="B8C4D6" w:sz="4"/>
              <w:left w:val="single" w:color="B8C4D6" w:sz="4"/>
              <w:bottom w:val="single" w:color="B8C4D6" w:sz="4"/>
              <w:right w:val="single" w:color="B8C4D6" w:sz="4"/>
            </w:tcBorders>
            <w:shd w:fill="E8EEF5" w:color="auto" w:val="clear"/>
            <w:tcMar>
              <w:top w:type="dxa" w:w="70"/>
              <w:left w:type="dxa" w:w="110"/>
              <w:bottom w:type="dxa" w:w="70"/>
              <w:right w:type="dxa" w:w="110"/>
            </w:tcMar>
            <w:vAlign w:val="center"/>
          </w:tcPr>
          <w:p>
            <w:pPr>
              <w:keepNext w:val="false"/>
              <w:jc w:val="left"/>
            </w:pPr>
            <w:r>
              <w:rPr>
                <w:b/>
                <w:bCs/>
                <w:color w:val="14213D"/>
                <w:sz w:val="18"/>
                <w:szCs w:val="18"/>
              </w:rPr>
              <w:t xml:space="preserve">Content</w:t>
            </w:r>
          </w:p>
        </w:tc>
      </w:tr>
      <w:tr>
        <w:trPr>
          <w:cantSplit/>
        </w:trPr>
        <w:tc>
          <w:tcPr>
            <w:tcW w:type="dxa" w:w="3810"/>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rFonts w:ascii="Consolas" w:cs="Consolas" w:eastAsia="Consolas" w:hAnsi="Consolas"/>
                <w:b w:val="false"/>
                <w:bCs w:val="false"/>
                <w:color w:val="2B2B2B"/>
                <w:sz w:val="17"/>
                <w:szCs w:val="17"/>
              </w:rPr>
              <w:t xml:space="preserve">modules/bootcamp/</w:t>
            </w:r>
          </w:p>
        </w:tc>
        <w:tc>
          <w:tcPr>
            <w:tcW w:type="dxa" w:w="5716"/>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All resource definitions, in three modules: </w:t>
            </w:r>
            <w:r>
              <w:rPr>
                <w:rFonts w:ascii="Consolas" w:cs="Consolas" w:eastAsia="Consolas" w:hAnsi="Consolas"/>
                <w:b w:val="false"/>
                <w:bCs w:val="false"/>
                <w:color w:val="2B2B2B"/>
                <w:sz w:val="17"/>
                <w:szCs w:val="17"/>
              </w:rPr>
              <w:t xml:space="preserve">data_foundation</w:t>
            </w:r>
            <w:r>
              <w:rPr>
                <w:b w:val="false"/>
                <w:bCs w:val="false"/>
                <w:color w:val="2B2B2B"/>
                <w:sz w:val="18"/>
                <w:szCs w:val="18"/>
              </w:rPr>
              <w:t xml:space="preserve">, </w:t>
            </w:r>
            <w:r>
              <w:rPr>
                <w:rFonts w:ascii="Consolas" w:cs="Consolas" w:eastAsia="Consolas" w:hAnsi="Consolas"/>
                <w:b w:val="false"/>
                <w:bCs w:val="false"/>
                <w:color w:val="2B2B2B"/>
                <w:sz w:val="17"/>
                <w:szCs w:val="17"/>
              </w:rPr>
              <w:t xml:space="preserve">ice_cream_api</w:t>
            </w:r>
            <w:r>
              <w:rPr>
                <w:b w:val="false"/>
                <w:bCs w:val="false"/>
                <w:color w:val="2B2B2B"/>
                <w:sz w:val="18"/>
                <w:szCs w:val="18"/>
              </w:rPr>
              <w:t xml:space="preserve">, </w:t>
            </w:r>
            <w:r>
              <w:rPr>
                <w:rFonts w:ascii="Consolas" w:cs="Consolas" w:eastAsia="Consolas" w:hAnsi="Consolas"/>
                <w:b w:val="false"/>
                <w:bCs w:val="false"/>
                <w:color w:val="2B2B2B"/>
                <w:sz w:val="17"/>
                <w:szCs w:val="17"/>
              </w:rPr>
              <w:t xml:space="preserve">use_cases/oee</w:t>
            </w:r>
          </w:p>
        </w:tc>
      </w:tr>
      <w:tr>
        <w:trPr>
          <w:cantSplit/>
        </w:trPr>
        <w:tc>
          <w:tcPr>
            <w:tcW w:type="dxa" w:w="3810"/>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rFonts w:ascii="Consolas" w:cs="Consolas" w:eastAsia="Consolas" w:hAnsi="Consolas"/>
                <w:b w:val="false"/>
                <w:bCs w:val="false"/>
                <w:color w:val="2B2B2B"/>
                <w:sz w:val="17"/>
                <w:szCs w:val="17"/>
              </w:rPr>
              <w:t xml:space="preserve">config.test.yaml</w:t>
            </w:r>
            <w:r>
              <w:rPr>
                <w:b w:val="false"/>
                <w:bCs w:val="false"/>
                <w:color w:val="2B2B2B"/>
                <w:sz w:val="18"/>
                <w:szCs w:val="18"/>
              </w:rPr>
              <w:t xml:space="preserve">, </w:t>
            </w:r>
            <w:r>
              <w:rPr>
                <w:rFonts w:ascii="Consolas" w:cs="Consolas" w:eastAsia="Consolas" w:hAnsi="Consolas"/>
                <w:b w:val="false"/>
                <w:bCs w:val="false"/>
                <w:color w:val="2B2B2B"/>
                <w:sz w:val="17"/>
                <w:szCs w:val="17"/>
              </w:rPr>
              <w:t xml:space="preserve">config.prod.yaml</w:t>
            </w:r>
          </w:p>
        </w:tc>
        <w:tc>
          <w:tcPr>
            <w:tcW w:type="dxa" w:w="5716"/>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Target project, selected modules and variables for each environment</w:t>
            </w:r>
          </w:p>
        </w:tc>
      </w:tr>
      <w:tr>
        <w:trPr>
          <w:cantSplit/>
        </w:trPr>
        <w:tc>
          <w:tcPr>
            <w:tcW w:type="dxa" w:w="3810"/>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rFonts w:ascii="Consolas" w:cs="Consolas" w:eastAsia="Consolas" w:hAnsi="Consolas"/>
                <w:b w:val="false"/>
                <w:bCs w:val="false"/>
                <w:color w:val="2B2B2B"/>
                <w:sz w:val="17"/>
                <w:szCs w:val="17"/>
              </w:rPr>
              <w:t xml:space="preserve">cdf.toml</w:t>
            </w:r>
          </w:p>
        </w:tc>
        <w:tc>
          <w:tcPr>
            <w:tcW w:type="dxa" w:w="5716"/>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Toolkit settings and pinned version</w:t>
            </w:r>
          </w:p>
        </w:tc>
      </w:tr>
      <w:tr>
        <w:trPr>
          <w:cantSplit/>
        </w:trPr>
        <w:tc>
          <w:tcPr>
            <w:tcW w:type="dxa" w:w="3810"/>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rFonts w:ascii="Consolas" w:cs="Consolas" w:eastAsia="Consolas" w:hAnsi="Consolas"/>
                <w:b w:val="false"/>
                <w:bCs w:val="false"/>
                <w:color w:val="2B2B2B"/>
                <w:sz w:val="17"/>
                <w:szCs w:val="17"/>
              </w:rPr>
              <w:t xml:space="preserve">scripts/check_project.py</w:t>
            </w:r>
          </w:p>
        </w:tc>
        <w:tc>
          <w:tcPr>
            <w:tcW w:type="dxa" w:w="5716"/>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Read-only health check of a project (21 controls)</w:t>
            </w:r>
          </w:p>
        </w:tc>
      </w:tr>
      <w:tr>
        <w:trPr>
          <w:cantSplit/>
        </w:trPr>
        <w:tc>
          <w:tcPr>
            <w:tcW w:type="dxa" w:w="3810"/>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rFonts w:ascii="Consolas" w:cs="Consolas" w:eastAsia="Consolas" w:hAnsi="Consolas"/>
                <w:b w:val="false"/>
                <w:bCs w:val="false"/>
                <w:color w:val="2B2B2B"/>
                <w:sz w:val="17"/>
                <w:szCs w:val="17"/>
              </w:rPr>
              <w:t xml:space="preserve">scripts/repair_asset_paths.py</w:t>
            </w:r>
          </w:p>
        </w:tc>
        <w:tc>
          <w:tcPr>
            <w:tcW w:type="dxa" w:w="5716"/>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Control and repair of the asset </w:t>
            </w:r>
            <w:r>
              <w:rPr>
                <w:rFonts w:ascii="Consolas" w:cs="Consolas" w:eastAsia="Consolas" w:hAnsi="Consolas"/>
                <w:b w:val="false"/>
                <w:bCs w:val="false"/>
                <w:color w:val="2B2B2B"/>
                <w:sz w:val="17"/>
                <w:szCs w:val="17"/>
              </w:rPr>
              <w:t xml:space="preserve">path</w:t>
            </w:r>
            <w:r>
              <w:rPr>
                <w:b w:val="false"/>
                <w:bCs w:val="false"/>
                <w:color w:val="2B2B2B"/>
                <w:sz w:val="18"/>
                <w:szCs w:val="18"/>
              </w:rPr>
              <w:t xml:space="preserve"> property; read-only unless </w:t>
            </w:r>
            <w:r>
              <w:rPr>
                <w:rFonts w:ascii="Consolas" w:cs="Consolas" w:eastAsia="Consolas" w:hAnsi="Consolas"/>
                <w:b w:val="false"/>
                <w:bCs w:val="false"/>
                <w:color w:val="2B2B2B"/>
                <w:sz w:val="17"/>
                <w:szCs w:val="17"/>
              </w:rPr>
              <w:t xml:space="preserve">--apply</w:t>
            </w:r>
          </w:p>
        </w:tc>
      </w:tr>
      <w:tr>
        <w:trPr>
          <w:cantSplit/>
        </w:trPr>
        <w:tc>
          <w:tcPr>
            <w:tcW w:type="dxa" w:w="3810"/>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rFonts w:ascii="Consolas" w:cs="Consolas" w:eastAsia="Consolas" w:hAnsi="Consolas"/>
                <w:b w:val="false"/>
                <w:bCs w:val="false"/>
                <w:color w:val="2B2B2B"/>
                <w:sz w:val="17"/>
                <w:szCs w:val="17"/>
              </w:rPr>
              <w:t xml:space="preserve">scripts/upload_pid.py</w:t>
            </w:r>
          </w:p>
        </w:tc>
        <w:tc>
          <w:tcPr>
            <w:tcW w:type="dxa" w:w="5716"/>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Control, and optional upload, of the P&amp;ID file and its asset links; read-only unless </w:t>
            </w:r>
            <w:r>
              <w:rPr>
                <w:rFonts w:ascii="Consolas" w:cs="Consolas" w:eastAsia="Consolas" w:hAnsi="Consolas"/>
                <w:b w:val="false"/>
                <w:bCs w:val="false"/>
                <w:color w:val="2B2B2B"/>
                <w:sz w:val="17"/>
                <w:szCs w:val="17"/>
              </w:rPr>
              <w:t xml:space="preserve">--apply</w:t>
            </w:r>
          </w:p>
        </w:tc>
      </w:tr>
      <w:tr>
        <w:trPr>
          <w:cantSplit/>
        </w:trPr>
        <w:tc>
          <w:tcPr>
            <w:tcW w:type="dxa" w:w="3810"/>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rFonts w:ascii="Consolas" w:cs="Consolas" w:eastAsia="Consolas" w:hAnsi="Consolas"/>
                <w:b w:val="false"/>
                <w:bCs w:val="false"/>
                <w:color w:val="2B2B2B"/>
                <w:sz w:val="17"/>
                <w:szCs w:val="17"/>
              </w:rPr>
              <w:t xml:space="preserve">report/CDF-Bootcamp-Report.html</w:t>
            </w:r>
          </w:p>
        </w:tc>
        <w:tc>
          <w:tcPr>
            <w:tcW w:type="dxa" w:w="5716"/>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Day-by-day write-up in French and English, including a step-by-step procedure (phase 13 covers GitHub)</w:t>
            </w:r>
          </w:p>
        </w:tc>
      </w:tr>
      <w:tr>
        <w:trPr>
          <w:cantSplit/>
        </w:trPr>
        <w:tc>
          <w:tcPr>
            <w:tcW w:type="dxa" w:w="3810"/>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rFonts w:ascii="Consolas" w:cs="Consolas" w:eastAsia="Consolas" w:hAnsi="Consolas"/>
                <w:b w:val="false"/>
                <w:bCs w:val="false"/>
                <w:color w:val="2B2B2B"/>
                <w:sz w:val="17"/>
                <w:szCs w:val="17"/>
              </w:rPr>
              <w:t xml:space="preserve">report/img/</w:t>
            </w:r>
          </w:p>
        </w:tc>
        <w:tc>
          <w:tcPr>
            <w:tcW w:type="dxa" w:w="5716"/>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Screenshots of Fusion used in the write-up and in Appendix C</w:t>
            </w:r>
          </w:p>
        </w:tc>
      </w:tr>
      <w:tr>
        <w:trPr>
          <w:cantSplit/>
        </w:trPr>
        <w:tc>
          <w:tcPr>
            <w:tcW w:type="dxa" w:w="3810"/>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rFonts w:ascii="Consolas" w:cs="Consolas" w:eastAsia="Consolas" w:hAnsi="Consolas"/>
                <w:b w:val="false"/>
                <w:bCs w:val="false"/>
                <w:color w:val="2B2B2B"/>
                <w:sz w:val="17"/>
                <w:szCs w:val="17"/>
              </w:rPr>
              <w:t xml:space="preserve">JOURNAL.md</w:t>
            </w:r>
            <w:r>
              <w:rPr>
                <w:b w:val="false"/>
                <w:bCs w:val="false"/>
                <w:color w:val="2B2B2B"/>
                <w:sz w:val="18"/>
                <w:szCs w:val="18"/>
              </w:rPr>
              <w:t xml:space="preserve">, </w:t>
            </w:r>
            <w:r>
              <w:rPr>
                <w:rFonts w:ascii="Consolas" w:cs="Consolas" w:eastAsia="Consolas" w:hAnsi="Consolas"/>
                <w:b w:val="false"/>
                <w:bCs w:val="false"/>
                <w:color w:val="2B2B2B"/>
                <w:sz w:val="17"/>
                <w:szCs w:val="17"/>
              </w:rPr>
              <w:t xml:space="preserve">AGENTS.md</w:t>
            </w:r>
          </w:p>
        </w:tc>
        <w:tc>
          <w:tcPr>
            <w:tcW w:type="dxa" w:w="5716"/>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Progress log and working rules for the project</w:t>
            </w:r>
          </w:p>
        </w:tc>
      </w:tr>
    </w:tbl>
    <w:p>
      <w:pPr>
        <w:pStyle w:val="Heading1"/>
      </w:pPr>
      <w:r>
        <w:t xml:space="preserve">Appendix B. Commands</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3239"/>
        <w:gridCol w:w="6287"/>
      </w:tblGrid>
      <w:tr>
        <w:trPr>
          <w:tblHeader/>
        </w:trPr>
        <w:tc>
          <w:tcPr>
            <w:tcW w:type="dxa" w:w="3239"/>
            <w:tcBorders>
              <w:top w:val="single" w:color="B8C4D6" w:sz="4"/>
              <w:left w:val="single" w:color="B8C4D6" w:sz="4"/>
              <w:bottom w:val="single" w:color="B8C4D6" w:sz="4"/>
              <w:right w:val="single" w:color="B8C4D6" w:sz="4"/>
            </w:tcBorders>
            <w:shd w:fill="E8EEF5" w:color="auto" w:val="clear"/>
            <w:tcMar>
              <w:top w:type="dxa" w:w="70"/>
              <w:left w:type="dxa" w:w="110"/>
              <w:bottom w:type="dxa" w:w="70"/>
              <w:right w:type="dxa" w:w="110"/>
            </w:tcMar>
            <w:vAlign w:val="center"/>
          </w:tcPr>
          <w:p>
            <w:pPr>
              <w:keepNext/>
              <w:jc w:val="left"/>
            </w:pPr>
            <w:r>
              <w:rPr>
                <w:b/>
                <w:bCs/>
                <w:color w:val="14213D"/>
                <w:sz w:val="18"/>
                <w:szCs w:val="18"/>
              </w:rPr>
              <w:t xml:space="preserve">Purpose</w:t>
            </w:r>
          </w:p>
        </w:tc>
        <w:tc>
          <w:tcPr>
            <w:tcW w:type="dxa" w:w="6287"/>
            <w:tcBorders>
              <w:top w:val="single" w:color="B8C4D6" w:sz="4"/>
              <w:left w:val="single" w:color="B8C4D6" w:sz="4"/>
              <w:bottom w:val="single" w:color="B8C4D6" w:sz="4"/>
              <w:right w:val="single" w:color="B8C4D6" w:sz="4"/>
            </w:tcBorders>
            <w:shd w:fill="E8EEF5" w:color="auto" w:val="clear"/>
            <w:tcMar>
              <w:top w:type="dxa" w:w="70"/>
              <w:left w:type="dxa" w:w="110"/>
              <w:bottom w:type="dxa" w:w="70"/>
              <w:right w:type="dxa" w:w="110"/>
            </w:tcMar>
            <w:vAlign w:val="center"/>
          </w:tcPr>
          <w:p>
            <w:pPr>
              <w:keepNext/>
              <w:jc w:val="left"/>
            </w:pPr>
            <w:r>
              <w:rPr>
                <w:b/>
                <w:bCs/>
                <w:color w:val="14213D"/>
                <w:sz w:val="18"/>
                <w:szCs w:val="18"/>
              </w:rPr>
              <w:t xml:space="preserve">Command</w:t>
            </w:r>
          </w:p>
        </w:tc>
      </w:tr>
      <w:tr>
        <w:trPr>
          <w:cantSplit/>
        </w:trPr>
        <w:tc>
          <w:tcPr>
            <w:tcW w:type="dxa" w:w="3239"/>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b w:val="false"/>
                <w:bCs w:val="false"/>
                <w:color w:val="2B2B2B"/>
                <w:sz w:val="18"/>
                <w:szCs w:val="18"/>
              </w:rPr>
              <w:t xml:space="preserve">Build, simulate, deploy (test)</w:t>
            </w:r>
          </w:p>
        </w:tc>
        <w:tc>
          <w:tcPr>
            <w:tcW w:type="dxa" w:w="6287"/>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rFonts w:ascii="Consolas" w:cs="Consolas" w:eastAsia="Consolas" w:hAnsi="Consolas"/>
                <w:b w:val="false"/>
                <w:bCs w:val="false"/>
                <w:color w:val="2B2B2B"/>
                <w:sz w:val="17"/>
                <w:szCs w:val="17"/>
              </w:rPr>
              <w:t xml:space="preserve">cdf build --env=test</w:t>
            </w:r>
            <w:r>
              <w:rPr>
                <w:b w:val="false"/>
                <w:bCs w:val="false"/>
                <w:color w:val="2B2B2B"/>
                <w:sz w:val="18"/>
                <w:szCs w:val="18"/>
              </w:rPr>
              <w:t xml:space="preserve">, then </w:t>
            </w:r>
            <w:r>
              <w:rPr>
                <w:rFonts w:ascii="Consolas" w:cs="Consolas" w:eastAsia="Consolas" w:hAnsi="Consolas"/>
                <w:b w:val="false"/>
                <w:bCs w:val="false"/>
                <w:color w:val="2B2B2B"/>
                <w:sz w:val="17"/>
                <w:szCs w:val="17"/>
              </w:rPr>
              <w:t xml:space="preserve">cdf deploy --dry-run</w:t>
            </w:r>
            <w:r>
              <w:rPr>
                <w:b w:val="false"/>
                <w:bCs w:val="false"/>
                <w:color w:val="2B2B2B"/>
                <w:sz w:val="18"/>
                <w:szCs w:val="18"/>
              </w:rPr>
              <w:t xml:space="preserve">, then </w:t>
            </w:r>
            <w:r>
              <w:rPr>
                <w:rFonts w:ascii="Consolas" w:cs="Consolas" w:eastAsia="Consolas" w:hAnsi="Consolas"/>
                <w:b w:val="false"/>
                <w:bCs w:val="false"/>
                <w:color w:val="2B2B2B"/>
                <w:sz w:val="17"/>
                <w:szCs w:val="17"/>
              </w:rPr>
              <w:t xml:space="preserve">cdf deploy</w:t>
            </w:r>
          </w:p>
        </w:tc>
      </w:tr>
      <w:tr>
        <w:trPr>
          <w:cantSplit/>
        </w:trPr>
        <w:tc>
          <w:tcPr>
            <w:tcW w:type="dxa" w:w="3239"/>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b w:val="false"/>
                <w:bCs w:val="false"/>
                <w:color w:val="2B2B2B"/>
                <w:sz w:val="18"/>
                <w:szCs w:val="18"/>
              </w:rPr>
              <w:t xml:space="preserve">Build for production</w:t>
            </w:r>
          </w:p>
        </w:tc>
        <w:tc>
          <w:tcPr>
            <w:tcW w:type="dxa" w:w="6287"/>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rFonts w:ascii="Consolas" w:cs="Consolas" w:eastAsia="Consolas" w:hAnsi="Consolas"/>
                <w:b w:val="false"/>
                <w:bCs w:val="false"/>
                <w:color w:val="2B2B2B"/>
                <w:sz w:val="17"/>
                <w:szCs w:val="17"/>
              </w:rPr>
              <w:t xml:space="preserve">cdf --env-path .env.prod build --env=prod --build-dir build_prod</w:t>
            </w:r>
          </w:p>
        </w:tc>
      </w:tr>
      <w:tr>
        <w:trPr>
          <w:cantSplit/>
        </w:trPr>
        <w:tc>
          <w:tcPr>
            <w:tcW w:type="dxa" w:w="3239"/>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b w:val="false"/>
                <w:bCs w:val="false"/>
                <w:color w:val="2B2B2B"/>
                <w:sz w:val="18"/>
                <w:szCs w:val="18"/>
              </w:rPr>
              <w:t xml:space="preserve">Deploy to production</w:t>
            </w:r>
          </w:p>
        </w:tc>
        <w:tc>
          <w:tcPr>
            <w:tcW w:type="dxa" w:w="6287"/>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rFonts w:ascii="Consolas" w:cs="Consolas" w:eastAsia="Consolas" w:hAnsi="Consolas"/>
                <w:b w:val="false"/>
                <w:bCs w:val="false"/>
                <w:color w:val="2B2B2B"/>
                <w:sz w:val="17"/>
                <w:szCs w:val="17"/>
              </w:rPr>
              <w:t xml:space="preserve">cdf --env-path .env.prod deploy build_prod --env=prod</w:t>
            </w:r>
          </w:p>
        </w:tc>
      </w:tr>
      <w:tr>
        <w:trPr>
          <w:cantSplit/>
        </w:trPr>
        <w:tc>
          <w:tcPr>
            <w:tcW w:type="dxa" w:w="3239"/>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Health check, test then production</w:t>
            </w:r>
          </w:p>
        </w:tc>
        <w:tc>
          <w:tcPr>
            <w:tcW w:type="dxa" w:w="6287"/>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rFonts w:ascii="Consolas" w:cs="Consolas" w:eastAsia="Consolas" w:hAnsi="Consolas"/>
                <w:b w:val="false"/>
                <w:bCs w:val="false"/>
                <w:color w:val="2B2B2B"/>
                <w:sz w:val="17"/>
                <w:szCs w:val="17"/>
              </w:rPr>
              <w:t xml:space="preserve">python scripts/check_project.py</w:t>
            </w:r>
            <w:r>
              <w:rPr>
                <w:b w:val="false"/>
                <w:bCs w:val="false"/>
                <w:color w:val="2B2B2B"/>
                <w:sz w:val="18"/>
                <w:szCs w:val="18"/>
              </w:rPr>
              <w:t xml:space="preserve"> then the same with </w:t>
            </w:r>
            <w:r>
              <w:rPr>
                <w:rFonts w:ascii="Consolas" w:cs="Consolas" w:eastAsia="Consolas" w:hAnsi="Consolas"/>
                <w:b w:val="false"/>
                <w:bCs w:val="false"/>
                <w:color w:val="2B2B2B"/>
                <w:sz w:val="17"/>
                <w:szCs w:val="17"/>
              </w:rPr>
              <w:t xml:space="preserve">--env-file .env.prod</w:t>
            </w:r>
          </w:p>
        </w:tc>
      </w:tr>
    </w:tbl>
    <w:p>
      <w:pPr>
        <w:pStyle w:val="Heading1"/>
        <w:pageBreakBefore/>
      </w:pPr>
      <w:r>
        <w:t xml:space="preserve">Appendix C. Screens from Fusion</w:t>
      </w:r>
    </w:p>
    <w:p>
      <w:pPr>
        <w:spacing w:after="120" w:line="288"/>
      </w:pPr>
      <w:r>
        <w:t xml:space="preserve">Screenshots taken on 6 October 2026 in the production project.</w:t>
      </w:r>
    </w:p>
    <w:p>
      <w:pPr>
        <w:pStyle w:val="Heading2"/>
      </w:pPr>
      <w:r>
        <w:t xml:space="preserve">C.1 Access (day 1)</w:t>
      </w:r>
    </w:p>
    <w:p>
      <w:pPr>
        <w:keepNext/>
        <w:spacing w:after="60" w:before="160"/>
      </w:pPr>
      <w:r>
        <w:drawing>
          <wp:inline distT="0" distB="0" distL="0" distR="0">
            <wp:extent cx="5905500" cy="3800475"/>
            <wp:effectExtent t="19050" r="19050" b="19050" l="19050"/>
            <wp:docPr id="2" name="day1-access.jpg" descr="Figure 1. The CDF groups in Access management. Each group is &quot;Externally managed&quot;: its members are those of the Entra group linked by the Source ID. The two application groups hold rights restricted to a data set. The list of rights is truncated on the screenshot; the last two groups come with the project." title="day1-acces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800475"/>
                    </a:xfrm>
                    <a:prstGeom prst="rect">
                      <a:avLst/>
                    </a:prstGeom>
                    <a:noFill/>
                    <a:ln w="9525">
                      <a:solidFill>
                        <a:srgbClr val="B8C4D6"/>
                      </a:solidFill>
                    </a:ln>
                  </pic:spPr>
                </pic:pic>
              </a:graphicData>
            </a:graphic>
          </wp:inline>
        </w:drawing>
      </w:r>
    </w:p>
    <w:p>
      <w:pPr>
        <w:spacing w:after="200"/>
        <w:rPr>
          <w:color w:val="5F6B7A"/>
          <w:sz w:val="18"/>
          <w:szCs w:val="18"/>
        </w:rPr>
      </w:pPr>
      <w:r>
        <w:rPr>
          <w:b/>
          <w:bCs/>
          <w:color w:val="5F6B7A"/>
          <w:sz w:val="18"/>
          <w:szCs w:val="18"/>
        </w:rPr>
        <w:t xml:space="preserve">Figure 1.</w:t>
      </w:r>
      <w:r>
        <w:rPr>
          <w:color w:val="5F6B7A"/>
          <w:sz w:val="18"/>
          <w:szCs w:val="18"/>
        </w:rPr>
        <w:t xml:space="preserve"> The CDF groups in Access management. Each group is "Externally managed": its members are those of the Entra group linked by the Source ID. The two application groups hold rights restricted to a data set. The list of rights is truncated on the screenshot; the last two groups come with the project.</w:t>
      </w:r>
    </w:p>
    <w:p>
      <w:pPr>
        <w:pStyle w:val="Heading2"/>
      </w:pPr>
      <w:r>
        <w:t xml:space="preserve">C.2 Ingestion and modeling (day 2)</w:t>
      </w:r>
    </w:p>
    <w:p>
      <w:pPr>
        <w:keepNext/>
        <w:spacing w:after="60" w:before="160"/>
      </w:pPr>
      <w:r>
        <w:drawing>
          <wp:inline distT="0" distB="0" distL="0" distR="0">
            <wp:extent cx="4191000" cy="2676525"/>
            <wp:effectExtent t="19050" r="19050" b="19050" l="19050"/>
            <wp:docPr id="3" name="day2-hosted-extractors.jpg" descr="Figure 2. The hosted extractor: connected, scheduled continuously, 100% uptime; its two jobs, /site/all/csv and /timeseries/oee, are running." title="day2-hosted-extracto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191000" cy="2676525"/>
                    </a:xfrm>
                    <a:prstGeom prst="rect">
                      <a:avLst/>
                    </a:prstGeom>
                    <a:noFill/>
                    <a:ln w="9525">
                      <a:solidFill>
                        <a:srgbClr val="B8C4D6"/>
                      </a:solidFill>
                    </a:ln>
                  </pic:spPr>
                </pic:pic>
              </a:graphicData>
            </a:graphic>
          </wp:inline>
        </w:drawing>
      </w:r>
    </w:p>
    <w:p>
      <w:pPr>
        <w:spacing w:after="200"/>
        <w:rPr>
          <w:color w:val="5F6B7A"/>
          <w:sz w:val="18"/>
          <w:szCs w:val="18"/>
        </w:rPr>
      </w:pPr>
      <w:r>
        <w:rPr>
          <w:b/>
          <w:bCs/>
          <w:color w:val="5F6B7A"/>
          <w:sz w:val="18"/>
          <w:szCs w:val="18"/>
        </w:rPr>
        <w:t xml:space="preserve">Figure 2.</w:t>
      </w:r>
      <w:r>
        <w:rPr>
          <w:color w:val="5F6B7A"/>
          <w:sz w:val="18"/>
          <w:szCs w:val="18"/>
        </w:rPr>
        <w:t xml:space="preserve"> The hosted extractor: connected, scheduled continuously, 100% uptime; its two jobs, </w:t>
      </w:r>
      <w:r>
        <w:rPr>
          <w:rFonts w:ascii="Consolas" w:cs="Consolas" w:eastAsia="Consolas" w:hAnsi="Consolas"/>
          <w:color w:val="5F6B7A"/>
          <w:sz w:val="17"/>
          <w:szCs w:val="17"/>
        </w:rPr>
        <w:t xml:space="preserve">/site/all/csv</w:t>
      </w:r>
      <w:r>
        <w:rPr>
          <w:color w:val="5F6B7A"/>
          <w:sz w:val="18"/>
          <w:szCs w:val="18"/>
        </w:rPr>
        <w:t xml:space="preserve"> and </w:t>
      </w:r>
      <w:r>
        <w:rPr>
          <w:rFonts w:ascii="Consolas" w:cs="Consolas" w:eastAsia="Consolas" w:hAnsi="Consolas"/>
          <w:color w:val="5F6B7A"/>
          <w:sz w:val="17"/>
          <w:szCs w:val="17"/>
        </w:rPr>
        <w:t xml:space="preserve">/timeseries/oee</w:t>
      </w:r>
      <w:r>
        <w:rPr>
          <w:color w:val="5F6B7A"/>
          <w:sz w:val="18"/>
          <w:szCs w:val="18"/>
        </w:rPr>
        <w:t xml:space="preserve">, are running.</w:t>
      </w:r>
    </w:p>
    <w:p>
      <w:pPr>
        <w:keepNext/>
        <w:spacing w:after="60" w:before="160"/>
      </w:pPr>
      <w:r>
        <w:drawing>
          <wp:inline distT="0" distB="0" distL="0" distR="0">
            <wp:extent cx="5905500" cy="1638300"/>
            <wp:effectExtent t="19050" r="19050" b="19050" l="19050"/>
            <wp:docPr id="4" name="day2-transformations.jpg" descr="Figure 3. The two transformations. The hierarchy is scheduled at 00:33; both are also replayed by the workflow, hence a successful last run a few minutes earlier." title="day2-transformation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638300"/>
                    </a:xfrm>
                    <a:prstGeom prst="rect">
                      <a:avLst/>
                    </a:prstGeom>
                    <a:noFill/>
                    <a:ln w="9525">
                      <a:solidFill>
                        <a:srgbClr val="B8C4D6"/>
                      </a:solidFill>
                    </a:ln>
                  </pic:spPr>
                </pic:pic>
              </a:graphicData>
            </a:graphic>
          </wp:inline>
        </w:drawing>
      </w:r>
    </w:p>
    <w:p>
      <w:pPr>
        <w:spacing w:after="200"/>
        <w:rPr>
          <w:color w:val="5F6B7A"/>
          <w:sz w:val="18"/>
          <w:szCs w:val="18"/>
        </w:rPr>
      </w:pPr>
      <w:r>
        <w:rPr>
          <w:b/>
          <w:bCs/>
          <w:color w:val="5F6B7A"/>
          <w:sz w:val="18"/>
          <w:szCs w:val="18"/>
        </w:rPr>
        <w:t xml:space="preserve">Figure 3.</w:t>
      </w:r>
      <w:r>
        <w:rPr>
          <w:color w:val="5F6B7A"/>
          <w:sz w:val="18"/>
          <w:szCs w:val="18"/>
        </w:rPr>
        <w:t xml:space="preserve"> The two transformations. The hierarchy is scheduled at 00:33; both are also replayed by the workflow, hence a successful last run a few minutes earlier.</w:t>
      </w:r>
    </w:p>
    <w:p>
      <w:pPr>
        <w:keepNext/>
        <w:spacing w:after="60" w:before="160"/>
      </w:pPr>
      <w:r>
        <w:drawing>
          <wp:inline distT="0" distB="0" distL="0" distR="0">
            <wp:extent cx="3429000" cy="2038350"/>
            <wp:effectExtent t="19050" r="19050" b="19050" l="19050"/>
            <wp:docPr id="5" name="day2-search.jpg" descr="Figure 4. The data in Search: 1,021 assets, 5,652 time series and one file, the end-of-bootcamp totals." title="day2-searc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429000" cy="2038350"/>
                    </a:xfrm>
                    <a:prstGeom prst="rect">
                      <a:avLst/>
                    </a:prstGeom>
                    <a:noFill/>
                    <a:ln w="9525">
                      <a:solidFill>
                        <a:srgbClr val="B8C4D6"/>
                      </a:solidFill>
                    </a:ln>
                  </pic:spPr>
                </pic:pic>
              </a:graphicData>
            </a:graphic>
          </wp:inline>
        </w:drawing>
      </w:r>
    </w:p>
    <w:p>
      <w:pPr>
        <w:spacing w:after="200"/>
        <w:rPr>
          <w:color w:val="5F6B7A"/>
          <w:sz w:val="18"/>
          <w:szCs w:val="18"/>
        </w:rPr>
      </w:pPr>
      <w:r>
        <w:rPr>
          <w:b/>
          <w:bCs/>
          <w:color w:val="5F6B7A"/>
          <w:sz w:val="18"/>
          <w:szCs w:val="18"/>
        </w:rPr>
        <w:t xml:space="preserve">Figure 4.</w:t>
      </w:r>
      <w:r>
        <w:rPr>
          <w:color w:val="5F6B7A"/>
          <w:sz w:val="18"/>
          <w:szCs w:val="18"/>
        </w:rPr>
        <w:t xml:space="preserve"> The data in Search: 1,021 assets, 5,652 time series and one file, the end-of-bootcamp totals.</w:t>
      </w:r>
    </w:p>
    <w:p>
      <w:pPr>
        <w:pStyle w:val="Heading2"/>
      </w:pPr>
      <w:r>
        <w:t xml:space="preserve">C.3 Functions and workflow (day 3)</w:t>
      </w:r>
    </w:p>
    <w:p>
      <w:pPr>
        <w:keepNext/>
        <w:spacing w:after="60" w:before="160"/>
      </w:pPr>
      <w:r>
        <w:drawing>
          <wp:inline distT="0" distB="0" distL="0" distR="0">
            <wp:extent cx="5905500" cy="2524125"/>
            <wp:effectExtent t="19050" r="19050" b="19050" l="19050"/>
            <wp:docPr id="6" name="day3-workflow-2rows.jpg" descr="Figure 5. The workflow wf_icapi_data_pipeline, shown on two rows: a trigger every 15 minutes, then four chained tasks, two transformations and two functions. &quot;Abort on fail&quot;: if a task fails, the workflow stops." title="day3-workflow-2row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524125"/>
                    </a:xfrm>
                    <a:prstGeom prst="rect">
                      <a:avLst/>
                    </a:prstGeom>
                    <a:noFill/>
                    <a:ln w="9525">
                      <a:solidFill>
                        <a:srgbClr val="B8C4D6"/>
                      </a:solidFill>
                    </a:ln>
                  </pic:spPr>
                </pic:pic>
              </a:graphicData>
            </a:graphic>
          </wp:inline>
        </w:drawing>
      </w:r>
    </w:p>
    <w:p>
      <w:pPr>
        <w:spacing w:after="200"/>
        <w:rPr>
          <w:color w:val="5F6B7A"/>
          <w:sz w:val="18"/>
          <w:szCs w:val="18"/>
        </w:rPr>
      </w:pPr>
      <w:r>
        <w:rPr>
          <w:b/>
          <w:bCs/>
          <w:color w:val="5F6B7A"/>
          <w:sz w:val="18"/>
          <w:szCs w:val="18"/>
        </w:rPr>
        <w:t xml:space="preserve">Figure 5.</w:t>
      </w:r>
      <w:r>
        <w:rPr>
          <w:color w:val="5F6B7A"/>
          <w:sz w:val="18"/>
          <w:szCs w:val="18"/>
        </w:rPr>
        <w:t xml:space="preserve"> The workflow </w:t>
      </w:r>
      <w:r>
        <w:rPr>
          <w:rFonts w:ascii="Consolas" w:cs="Consolas" w:eastAsia="Consolas" w:hAnsi="Consolas"/>
          <w:color w:val="5F6B7A"/>
          <w:sz w:val="17"/>
          <w:szCs w:val="17"/>
        </w:rPr>
        <w:t xml:space="preserve">wf_icapi_data_pipeline</w:t>
      </w:r>
      <w:r>
        <w:rPr>
          <w:color w:val="5F6B7A"/>
          <w:sz w:val="18"/>
          <w:szCs w:val="18"/>
        </w:rPr>
        <w:t xml:space="preserve">, shown on two rows: a trigger every 15 minutes, then four chained tasks, two transformations and two functions. "Abort on fail": if a task fails, the workflow stops.</w:t>
      </w:r>
    </w:p>
    <w:p>
      <w:pPr>
        <w:keepNext/>
        <w:spacing w:after="60" w:before="160"/>
      </w:pPr>
      <w:r>
        <w:drawing>
          <wp:inline distT="0" distB="0" distL="0" distR="0">
            <wp:extent cx="5905500" cy="1495425"/>
            <wp:effectExtent t="19050" r="19050" b="19050" l="19050"/>
            <wp:docPr id="7" name="day3-functions.jpg" descr="Figure 6. The two functions, both ready; their last call is a few minutes old, made by the workflow." title="day3-function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1495425"/>
                    </a:xfrm>
                    <a:prstGeom prst="rect">
                      <a:avLst/>
                    </a:prstGeom>
                    <a:noFill/>
                    <a:ln w="9525">
                      <a:solidFill>
                        <a:srgbClr val="B8C4D6"/>
                      </a:solidFill>
                    </a:ln>
                  </pic:spPr>
                </pic:pic>
              </a:graphicData>
            </a:graphic>
          </wp:inline>
        </w:drawing>
      </w:r>
    </w:p>
    <w:p>
      <w:pPr>
        <w:spacing w:after="200"/>
        <w:rPr>
          <w:color w:val="5F6B7A"/>
          <w:sz w:val="18"/>
          <w:szCs w:val="18"/>
        </w:rPr>
      </w:pPr>
      <w:r>
        <w:rPr>
          <w:b/>
          <w:bCs/>
          <w:color w:val="5F6B7A"/>
          <w:sz w:val="18"/>
          <w:szCs w:val="18"/>
        </w:rPr>
        <w:t xml:space="preserve">Figure 6.</w:t>
      </w:r>
      <w:r>
        <w:rPr>
          <w:color w:val="5F6B7A"/>
          <w:sz w:val="18"/>
          <w:szCs w:val="18"/>
        </w:rPr>
        <w:t xml:space="preserve"> The two functions, both ready; their last call is a few minutes old, made by the workflow.</w:t>
      </w:r>
    </w:p>
    <w:p>
      <w:pPr>
        <w:keepNext/>
        <w:spacing w:after="60" w:before="160"/>
      </w:pPr>
      <w:r>
        <w:drawing>
          <wp:inline distT="0" distB="0" distL="0" distR="0">
            <wp:extent cx="3619500" cy="2000250"/>
            <wp:effectExtent t="19050" r="19050" b="19050" l="19050"/>
            <wp:docPr id="8" name="day3-extraction-pipeline.jpg" descr="Figure 7. The extraction pipeline ep_icapi_datapoints, named &quot;Ice Cream API Data Points&quot;: last report received just now, a success." title="day3-extraction-pipeli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619500" cy="2000250"/>
                    </a:xfrm>
                    <a:prstGeom prst="rect">
                      <a:avLst/>
                    </a:prstGeom>
                    <a:noFill/>
                    <a:ln w="9525">
                      <a:solidFill>
                        <a:srgbClr val="B8C4D6"/>
                      </a:solidFill>
                    </a:ln>
                  </pic:spPr>
                </pic:pic>
              </a:graphicData>
            </a:graphic>
          </wp:inline>
        </w:drawing>
      </w:r>
    </w:p>
    <w:p>
      <w:pPr>
        <w:spacing w:after="200"/>
        <w:rPr>
          <w:color w:val="5F6B7A"/>
          <w:sz w:val="18"/>
          <w:szCs w:val="18"/>
        </w:rPr>
      </w:pPr>
      <w:r>
        <w:rPr>
          <w:b/>
          <w:bCs/>
          <w:color w:val="5F6B7A"/>
          <w:sz w:val="18"/>
          <w:szCs w:val="18"/>
        </w:rPr>
        <w:t xml:space="preserve">Figure 7.</w:t>
      </w:r>
      <w:r>
        <w:rPr>
          <w:color w:val="5F6B7A"/>
          <w:sz w:val="18"/>
          <w:szCs w:val="18"/>
        </w:rPr>
        <w:t xml:space="preserve"> The extraction pipeline </w:t>
      </w:r>
      <w:r>
        <w:rPr>
          <w:rFonts w:ascii="Consolas" w:cs="Consolas" w:eastAsia="Consolas" w:hAnsi="Consolas"/>
          <w:color w:val="5F6B7A"/>
          <w:sz w:val="17"/>
          <w:szCs w:val="17"/>
        </w:rPr>
        <w:t xml:space="preserve">ep_icapi_datapoints</w:t>
      </w:r>
      <w:r>
        <w:rPr>
          <w:color w:val="5F6B7A"/>
          <w:sz w:val="18"/>
          <w:szCs w:val="18"/>
        </w:rPr>
        <w:t xml:space="preserve">, named "Ice Cream API Data Points": last report received just now, a success.</w:t>
      </w:r>
    </w:p>
    <w:p>
      <w:pPr>
        <w:pStyle w:val="Heading2"/>
      </w:pPr>
      <w:r>
        <w:t xml:space="preserve">C.4 Charts (day 4)</w:t>
      </w:r>
    </w:p>
    <w:p>
      <w:pPr>
        <w:keepNext/>
        <w:spacing w:after="120" w:line="288"/>
        <w:rPr>
          <w:color w:val="5F6B7A"/>
          <w:sz w:val="18"/>
          <w:szCs w:val="18"/>
        </w:rPr>
      </w:pPr>
      <w:r>
        <w:rPr>
          <w:color w:val="5F6B7A"/>
          <w:sz w:val="18"/>
          <w:szCs w:val="18"/>
        </w:rPr>
        <w:t xml:space="preserve">Unit OSPRPATA241, the Oslo Balance Tank.</w:t>
      </w:r>
    </w:p>
    <w:p>
      <w:pPr>
        <w:keepNext/>
        <w:spacing w:after="60" w:before="160"/>
      </w:pPr>
      <w:r>
        <w:drawing>
          <wp:inline distT="0" distB="0" distL="0" distR="0">
            <wp:extent cx="5905500" cy="3438525"/>
            <wp:effectExtent t="19050" r="19050" b="19050" l="19050"/>
            <wp:docPr id="9" name="day4-chart.jpg" descr="Figure 8. The chart test_gd. Eight days of the Balance Tank's OEE, 22 to 30 September. The falls to 0 are the machine stops; the dips to about 0.7 are the quality drops. The Oee series and the charts_oee calculation overlay each other, with the same mean (0.828); the three other series are in the chart but hidden." title="day4-cha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3438525"/>
                    </a:xfrm>
                    <a:prstGeom prst="rect">
                      <a:avLst/>
                    </a:prstGeom>
                    <a:noFill/>
                    <a:ln w="9525">
                      <a:solidFill>
                        <a:srgbClr val="B8C4D6"/>
                      </a:solidFill>
                    </a:ln>
                  </pic:spPr>
                </pic:pic>
              </a:graphicData>
            </a:graphic>
          </wp:inline>
        </w:drawing>
      </w:r>
    </w:p>
    <w:p>
      <w:pPr>
        <w:spacing w:after="200"/>
        <w:rPr>
          <w:color w:val="5F6B7A"/>
          <w:sz w:val="18"/>
          <w:szCs w:val="18"/>
        </w:rPr>
      </w:pPr>
      <w:r>
        <w:rPr>
          <w:b/>
          <w:bCs/>
          <w:color w:val="5F6B7A"/>
          <w:sz w:val="18"/>
          <w:szCs w:val="18"/>
        </w:rPr>
        <w:t xml:space="preserve">Figure 8.</w:t>
      </w:r>
      <w:r>
        <w:rPr>
          <w:color w:val="5F6B7A"/>
          <w:sz w:val="18"/>
          <w:szCs w:val="18"/>
        </w:rPr>
        <w:t xml:space="preserve"> The chart </w:t>
      </w:r>
      <w:r>
        <w:rPr>
          <w:rFonts w:ascii="Consolas" w:cs="Consolas" w:eastAsia="Consolas" w:hAnsi="Consolas"/>
          <w:color w:val="5F6B7A"/>
          <w:sz w:val="17"/>
          <w:szCs w:val="17"/>
        </w:rPr>
        <w:t xml:space="preserve">test_gd</w:t>
      </w:r>
      <w:r>
        <w:rPr>
          <w:color w:val="5F6B7A"/>
          <w:sz w:val="18"/>
          <w:szCs w:val="18"/>
        </w:rPr>
        <w:t xml:space="preserve">. Eight days of the Balance Tank's OEE, 22 to 30 September. The falls to 0 are the machine stops; the dips to about 0.7 are the quality drops. The Oee series and the </w:t>
      </w:r>
      <w:r>
        <w:rPr>
          <w:rFonts w:ascii="Consolas" w:cs="Consolas" w:eastAsia="Consolas" w:hAnsi="Consolas"/>
          <w:color w:val="5F6B7A"/>
          <w:sz w:val="17"/>
          <w:szCs w:val="17"/>
        </w:rPr>
        <w:t xml:space="preserve">charts_oee</w:t>
      </w:r>
      <w:r>
        <w:rPr>
          <w:color w:val="5F6B7A"/>
          <w:sz w:val="18"/>
          <w:szCs w:val="18"/>
        </w:rPr>
        <w:t xml:space="preserve"> calculation overlay each other, with the same mean (0.828); the three other series are in the chart but hidden.</w:t>
      </w:r>
    </w:p>
    <w:p>
      <w:pPr>
        <w:keepNext/>
        <w:spacing w:after="60" w:before="160"/>
      </w:pPr>
      <w:r>
        <w:drawing>
          <wp:inline distT="0" distB="0" distL="0" distR="0">
            <wp:extent cx="5905500" cy="1571625"/>
            <wp:effectExtent t="19050" r="19050" b="19050" l="19050"/>
            <wp:docPr id="10" name="day4-calculation.jpg" descr="Figure 9. The charts_oee calculation. Three source nodes, two multiplications and one output: Performance x Quality, then x Availability." title="day4-calcul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05500" cy="1571625"/>
                    </a:xfrm>
                    <a:prstGeom prst="rect">
                      <a:avLst/>
                    </a:prstGeom>
                    <a:noFill/>
                    <a:ln w="9525">
                      <a:solidFill>
                        <a:srgbClr val="B8C4D6"/>
                      </a:solidFill>
                    </a:ln>
                  </pic:spPr>
                </pic:pic>
              </a:graphicData>
            </a:graphic>
          </wp:inline>
        </w:drawing>
      </w:r>
    </w:p>
    <w:p>
      <w:pPr>
        <w:spacing w:after="200"/>
        <w:rPr>
          <w:color w:val="5F6B7A"/>
          <w:sz w:val="18"/>
          <w:szCs w:val="18"/>
        </w:rPr>
      </w:pPr>
      <w:r>
        <w:rPr>
          <w:b/>
          <w:bCs/>
          <w:color w:val="5F6B7A"/>
          <w:sz w:val="18"/>
          <w:szCs w:val="18"/>
        </w:rPr>
        <w:t xml:space="preserve">Figure 9.</w:t>
      </w:r>
      <w:r>
        <w:rPr>
          <w:color w:val="5F6B7A"/>
          <w:sz w:val="18"/>
          <w:szCs w:val="18"/>
        </w:rPr>
        <w:t xml:space="preserve"> The </w:t>
      </w:r>
      <w:r>
        <w:rPr>
          <w:rFonts w:ascii="Consolas" w:cs="Consolas" w:eastAsia="Consolas" w:hAnsi="Consolas"/>
          <w:color w:val="5F6B7A"/>
          <w:sz w:val="17"/>
          <w:szCs w:val="17"/>
        </w:rPr>
        <w:t xml:space="preserve">charts_oee</w:t>
      </w:r>
      <w:r>
        <w:rPr>
          <w:color w:val="5F6B7A"/>
          <w:sz w:val="18"/>
          <w:szCs w:val="18"/>
        </w:rPr>
        <w:t xml:space="preserve"> calculation. Three source nodes, two multiplications and one output: Performance x Quality, then x Availability.</w:t>
      </w:r>
    </w:p>
    <w:p>
      <w:pPr>
        <w:keepNext/>
        <w:spacing w:after="60" w:before="160"/>
      </w:pPr>
      <w:r>
        <w:drawing>
          <wp:inline distT="0" distB="0" distL="0" distR="0">
            <wp:extent cx="5905500" cy="1724025"/>
            <wp:effectExtent t="19050" r="19050" b="19050" l="19050"/>
            <wp:docPr id="11" name="day4-monitoring.jpg" descr="Figure 10. The monitoring job. oee_monitoring_gd on the Oee series: below 0.7, evaluated every 5 minutes, for more than 5 minutes. The other jobs in the folder come from earlier bootcamp sessions." title="day4-monitori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05500" cy="1724025"/>
                    </a:xfrm>
                    <a:prstGeom prst="rect">
                      <a:avLst/>
                    </a:prstGeom>
                    <a:noFill/>
                    <a:ln w="9525">
                      <a:solidFill>
                        <a:srgbClr val="B8C4D6"/>
                      </a:solidFill>
                    </a:ln>
                  </pic:spPr>
                </pic:pic>
              </a:graphicData>
            </a:graphic>
          </wp:inline>
        </w:drawing>
      </w:r>
    </w:p>
    <w:p>
      <w:pPr>
        <w:spacing w:after="200"/>
        <w:rPr>
          <w:color w:val="5F6B7A"/>
          <w:sz w:val="18"/>
          <w:szCs w:val="18"/>
        </w:rPr>
      </w:pPr>
      <w:r>
        <w:rPr>
          <w:b/>
          <w:bCs/>
          <w:color w:val="5F6B7A"/>
          <w:sz w:val="18"/>
          <w:szCs w:val="18"/>
        </w:rPr>
        <w:t xml:space="preserve">Figure 10.</w:t>
      </w:r>
      <w:r>
        <w:rPr>
          <w:color w:val="5F6B7A"/>
          <w:sz w:val="18"/>
          <w:szCs w:val="18"/>
        </w:rPr>
        <w:t xml:space="preserve"> The monitoring job. </w:t>
      </w:r>
      <w:r>
        <w:rPr>
          <w:rFonts w:ascii="Consolas" w:cs="Consolas" w:eastAsia="Consolas" w:hAnsi="Consolas"/>
          <w:color w:val="5F6B7A"/>
          <w:sz w:val="17"/>
          <w:szCs w:val="17"/>
        </w:rPr>
        <w:t xml:space="preserve">oee_monitoring_gd</w:t>
      </w:r>
      <w:r>
        <w:rPr>
          <w:color w:val="5F6B7A"/>
          <w:sz w:val="18"/>
          <w:szCs w:val="18"/>
        </w:rPr>
        <w:t xml:space="preserve"> on the Oee series: below 0.7, evaluated every 5 minutes, for more than 5 minutes. The other jobs in the folder come from earlier bootcamp sessions.</w:t>
      </w:r>
    </w:p>
    <w:p>
      <w:pPr>
        <w:pStyle w:val="Heading2"/>
      </w:pPr>
      <w:r>
        <w:t xml:space="preserve">C.5 Canvas (day 4)</w:t>
      </w:r>
    </w:p>
    <w:p>
      <w:pPr>
        <w:keepNext/>
        <w:spacing w:after="60" w:before="160"/>
      </w:pPr>
      <w:r>
        <w:drawing>
          <wp:inline distT="0" distB="0" distL="0" distR="0">
            <wp:extent cx="5905500" cy="2990850"/>
            <wp:effectExtent t="19050" r="19050" b="19050" l="19050"/>
            <wp:docPr id="12" name="day4-canvas-overview.jpg" descr="Figure 11. The canvas OEE RCA GD, overview. Top: the P&amp;ID drawing, the asset card and the Charts chart with its rectangle. Middle: the six time series. Bottom left: the sticky note." title="day4-canvas-overvie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05500" cy="2990850"/>
                    </a:xfrm>
                    <a:prstGeom prst="rect">
                      <a:avLst/>
                    </a:prstGeom>
                    <a:noFill/>
                    <a:ln w="9525">
                      <a:solidFill>
                        <a:srgbClr val="B8C4D6"/>
                      </a:solidFill>
                    </a:ln>
                  </pic:spPr>
                </pic:pic>
              </a:graphicData>
            </a:graphic>
          </wp:inline>
        </w:drawing>
      </w:r>
    </w:p>
    <w:p>
      <w:pPr>
        <w:spacing w:after="200"/>
        <w:rPr>
          <w:color w:val="5F6B7A"/>
          <w:sz w:val="18"/>
          <w:szCs w:val="18"/>
        </w:rPr>
      </w:pPr>
      <w:r>
        <w:rPr>
          <w:b/>
          <w:bCs/>
          <w:color w:val="5F6B7A"/>
          <w:sz w:val="18"/>
          <w:szCs w:val="18"/>
        </w:rPr>
        <w:t xml:space="preserve">Figure 11.</w:t>
      </w:r>
      <w:r>
        <w:rPr>
          <w:color w:val="5F6B7A"/>
          <w:sz w:val="18"/>
          <w:szCs w:val="18"/>
        </w:rPr>
        <w:t xml:space="preserve"> The canvas </w:t>
      </w:r>
      <w:r>
        <w:rPr>
          <w:rFonts w:ascii="Consolas" w:cs="Consolas" w:eastAsia="Consolas" w:hAnsi="Consolas"/>
          <w:color w:val="5F6B7A"/>
          <w:sz w:val="17"/>
          <w:szCs w:val="17"/>
        </w:rPr>
        <w:t xml:space="preserve">OEE RCA GD</w:t>
      </w:r>
      <w:r>
        <w:rPr>
          <w:color w:val="5F6B7A"/>
          <w:sz w:val="18"/>
          <w:szCs w:val="18"/>
        </w:rPr>
        <w:t xml:space="preserve">, overview. Top: the P&amp;ID drawing, the asset card and the Charts chart with its rectangle. Middle: the six time series. Bottom left: the sticky note.</w:t>
      </w:r>
    </w:p>
    <w:p>
      <w:pPr>
        <w:keepNext/>
        <w:spacing w:after="60" w:before="160"/>
      </w:pPr>
      <w:r>
        <w:drawing>
          <wp:inline distT="0" distB="0" distL="0" distR="0">
            <wp:extent cx="5905500" cy="1847850"/>
            <wp:effectExtent t="19050" r="19050" b="19050" l="19050"/>
            <wp:docPr id="13" name="day4-canvas-pid.jpg" descr="Figure 12. The drawing and the asset. The file &quot;PID Exercise File&quot; and the CogniteAsset card of the Balance Tank, reached through &quot;Find related data&quot;. On the drawing, the tank carries its tag OSPRPATA241." title="day4-canvas-pi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05500" cy="1847850"/>
                    </a:xfrm>
                    <a:prstGeom prst="rect">
                      <a:avLst/>
                    </a:prstGeom>
                    <a:noFill/>
                    <a:ln w="9525">
                      <a:solidFill>
                        <a:srgbClr val="B8C4D6"/>
                      </a:solidFill>
                    </a:ln>
                  </pic:spPr>
                </pic:pic>
              </a:graphicData>
            </a:graphic>
          </wp:inline>
        </w:drawing>
      </w:r>
    </w:p>
    <w:p>
      <w:pPr>
        <w:spacing w:after="200"/>
        <w:rPr>
          <w:color w:val="5F6B7A"/>
          <w:sz w:val="18"/>
          <w:szCs w:val="18"/>
        </w:rPr>
      </w:pPr>
      <w:r>
        <w:rPr>
          <w:b/>
          <w:bCs/>
          <w:color w:val="5F6B7A"/>
          <w:sz w:val="18"/>
          <w:szCs w:val="18"/>
        </w:rPr>
        <w:t xml:space="preserve">Figure 12.</w:t>
      </w:r>
      <w:r>
        <w:rPr>
          <w:color w:val="5F6B7A"/>
          <w:sz w:val="18"/>
          <w:szCs w:val="18"/>
        </w:rPr>
        <w:t xml:space="preserve"> The drawing and the asset. The file "PID Exercise File" and the </w:t>
      </w:r>
      <w:r>
        <w:rPr>
          <w:rFonts w:ascii="Consolas" w:cs="Consolas" w:eastAsia="Consolas" w:hAnsi="Consolas"/>
          <w:color w:val="5F6B7A"/>
          <w:sz w:val="17"/>
          <w:szCs w:val="17"/>
        </w:rPr>
        <w:t xml:space="preserve">CogniteAsset</w:t>
      </w:r>
      <w:r>
        <w:rPr>
          <w:color w:val="5F6B7A"/>
          <w:sz w:val="18"/>
          <w:szCs w:val="18"/>
        </w:rPr>
        <w:t xml:space="preserve"> card of the Balance Tank, reached through "Find related data". On the drawing, the tank carries its tag OSPRPATA241.</w:t>
      </w:r>
    </w:p>
    <w:p>
      <w:pPr>
        <w:keepNext/>
        <w:spacing w:after="60" w:before="160"/>
      </w:pPr>
      <w:r>
        <w:drawing>
          <wp:inline distT="0" distB="0" distL="0" distR="0">
            <wp:extent cx="4762500" cy="2409825"/>
            <wp:effectExtent t="19050" r="19050" b="19050" l="19050"/>
            <wp:docPr id="14" name="day4-canvas-chart.jpg" descr="Figure 13. The rectangle. It marks a group of OEE drops on the chart placed in the canvas." title="day4-canvas-char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2409825"/>
                    </a:xfrm>
                    <a:prstGeom prst="rect">
                      <a:avLst/>
                    </a:prstGeom>
                    <a:noFill/>
                    <a:ln w="9525">
                      <a:solidFill>
                        <a:srgbClr val="B8C4D6"/>
                      </a:solidFill>
                    </a:ln>
                  </pic:spPr>
                </pic:pic>
              </a:graphicData>
            </a:graphic>
          </wp:inline>
        </w:drawing>
      </w:r>
    </w:p>
    <w:p>
      <w:pPr>
        <w:spacing w:after="200"/>
        <w:rPr>
          <w:color w:val="5F6B7A"/>
          <w:sz w:val="18"/>
          <w:szCs w:val="18"/>
        </w:rPr>
      </w:pPr>
      <w:r>
        <w:rPr>
          <w:b/>
          <w:bCs/>
          <w:color w:val="5F6B7A"/>
          <w:sz w:val="18"/>
          <w:szCs w:val="18"/>
        </w:rPr>
        <w:t xml:space="preserve">Figure 13.</w:t>
      </w:r>
      <w:r>
        <w:rPr>
          <w:color w:val="5F6B7A"/>
          <w:sz w:val="18"/>
          <w:szCs w:val="18"/>
        </w:rPr>
        <w:t xml:space="preserve"> The rectangle. It marks a group of OEE drops on the chart placed in the canvas.</w:t>
      </w:r>
    </w:p>
    <w:p>
      <w:pPr>
        <w:keepNext/>
        <w:spacing w:after="60" w:before="160"/>
      </w:pPr>
      <w:r>
        <w:drawing>
          <wp:inline distT="0" distB="0" distL="0" distR="0">
            <wp:extent cx="3429000" cy="2905125"/>
            <wp:effectExtent t="19050" r="19050" b="19050" l="19050"/>
            <wp:docPr id="15" name="day4-canvas-note.jpg" descr="Figure 14. The sticky note. The conclusion of the analysis, written on the canvas: planned stops, unplanned stops and quality dips." title="day4-canvas-no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429000" cy="2905125"/>
                    </a:xfrm>
                    <a:prstGeom prst="rect">
                      <a:avLst/>
                    </a:prstGeom>
                    <a:noFill/>
                    <a:ln w="9525">
                      <a:solidFill>
                        <a:srgbClr val="B8C4D6"/>
                      </a:solidFill>
                    </a:ln>
                  </pic:spPr>
                </pic:pic>
              </a:graphicData>
            </a:graphic>
          </wp:inline>
        </w:drawing>
      </w:r>
    </w:p>
    <w:p>
      <w:pPr>
        <w:spacing w:after="200"/>
        <w:rPr>
          <w:color w:val="5F6B7A"/>
          <w:sz w:val="18"/>
          <w:szCs w:val="18"/>
        </w:rPr>
      </w:pPr>
      <w:r>
        <w:rPr>
          <w:b/>
          <w:bCs/>
          <w:color w:val="5F6B7A"/>
          <w:sz w:val="18"/>
          <w:szCs w:val="18"/>
        </w:rPr>
        <w:t xml:space="preserve">Figure 14.</w:t>
      </w:r>
      <w:r>
        <w:rPr>
          <w:color w:val="5F6B7A"/>
          <w:sz w:val="18"/>
          <w:szCs w:val="18"/>
        </w:rPr>
        <w:t xml:space="preserve"> The sticky note. The conclusion of the analysis, written on the canvas: planned stops, unplanned stops and quality dips.</w:t>
      </w:r>
    </w:p>
    <w:p>
      <w:pPr>
        <w:pStyle w:val="Heading1"/>
      </w:pPr>
      <w:r>
        <w:t xml:space="preserve">Appendix D. Cognite resources</w:t>
      </w:r>
    </w:p>
    <w:tbl>
      <w:tblPr>
        <w:tblW w:type="dxa" w:w="9526"/>
        <w:tblBorders>
          <w:top w:val="single" w:color="auto" w:sz="4"/>
          <w:left w:val="single" w:color="auto" w:sz="4"/>
          <w:bottom w:val="single" w:color="auto" w:sz="4"/>
          <w:right w:val="single" w:color="auto" w:sz="4"/>
          <w:insideH w:val="single" w:color="auto" w:sz="4"/>
          <w:insideV w:val="single" w:color="auto" w:sz="4"/>
        </w:tblBorders>
      </w:tblPr>
      <w:tblGrid>
        <w:gridCol w:w="2858"/>
        <w:gridCol w:w="6668"/>
      </w:tblGrid>
      <w:tr>
        <w:trPr>
          <w:tblHeader/>
        </w:trPr>
        <w:tc>
          <w:tcPr>
            <w:tcW w:type="dxa" w:w="2858"/>
            <w:tcBorders>
              <w:top w:val="single" w:color="B8C4D6" w:sz="4"/>
              <w:left w:val="single" w:color="B8C4D6" w:sz="4"/>
              <w:bottom w:val="single" w:color="B8C4D6" w:sz="4"/>
              <w:right w:val="single" w:color="B8C4D6" w:sz="4"/>
            </w:tcBorders>
            <w:shd w:fill="E8EEF5" w:color="auto" w:val="clear"/>
            <w:tcMar>
              <w:top w:type="dxa" w:w="70"/>
              <w:left w:type="dxa" w:w="110"/>
              <w:bottom w:type="dxa" w:w="70"/>
              <w:right w:type="dxa" w:w="110"/>
            </w:tcMar>
            <w:vAlign w:val="center"/>
          </w:tcPr>
          <w:p>
            <w:pPr>
              <w:keepNext/>
              <w:jc w:val="left"/>
            </w:pPr>
            <w:r>
              <w:rPr>
                <w:b/>
                <w:bCs/>
                <w:color w:val="14213D"/>
                <w:sz w:val="18"/>
                <w:szCs w:val="18"/>
              </w:rPr>
              <w:t xml:space="preserve">Address</w:t>
            </w:r>
          </w:p>
        </w:tc>
        <w:tc>
          <w:tcPr>
            <w:tcW w:type="dxa" w:w="6668"/>
            <w:tcBorders>
              <w:top w:val="single" w:color="B8C4D6" w:sz="4"/>
              <w:left w:val="single" w:color="B8C4D6" w:sz="4"/>
              <w:bottom w:val="single" w:color="B8C4D6" w:sz="4"/>
              <w:right w:val="single" w:color="B8C4D6" w:sz="4"/>
            </w:tcBorders>
            <w:shd w:fill="E8EEF5" w:color="auto" w:val="clear"/>
            <w:tcMar>
              <w:top w:type="dxa" w:w="70"/>
              <w:left w:type="dxa" w:w="110"/>
              <w:bottom w:type="dxa" w:w="70"/>
              <w:right w:type="dxa" w:w="110"/>
            </w:tcMar>
            <w:vAlign w:val="center"/>
          </w:tcPr>
          <w:p>
            <w:pPr>
              <w:keepNext/>
              <w:jc w:val="left"/>
            </w:pPr>
            <w:r>
              <w:rPr>
                <w:b/>
                <w:bCs/>
                <w:color w:val="14213D"/>
                <w:sz w:val="18"/>
                <w:szCs w:val="18"/>
              </w:rPr>
              <w:t xml:space="preserve">What it offers</w:t>
            </w:r>
          </w:p>
        </w:tc>
      </w:tr>
      <w:tr>
        <w:trPr>
          <w:cantSplit/>
        </w:trPr>
        <w:tc>
          <w:tcPr>
            <w:tcW w:type="dxa" w:w="2858"/>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b w:val="false"/>
                <w:bCs w:val="false"/>
                <w:color w:val="2B2B2B"/>
                <w:sz w:val="18"/>
                <w:szCs w:val="18"/>
              </w:rPr>
              <w:t xml:space="preserve">docs.cognite.com</w:t>
            </w:r>
          </w:p>
        </w:tc>
        <w:tc>
          <w:tcPr>
            <w:tcW w:type="dxa" w:w="6668"/>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b w:val="false"/>
                <w:bCs w:val="false"/>
                <w:color w:val="2B2B2B"/>
                <w:sz w:val="18"/>
                <w:szCs w:val="18"/>
              </w:rPr>
              <w:t xml:space="preserve">Product documentation, developer guides, API reference and SDKs</w:t>
            </w:r>
          </w:p>
        </w:tc>
      </w:tr>
      <w:tr>
        <w:trPr>
          <w:cantSplit/>
        </w:trPr>
        <w:tc>
          <w:tcPr>
            <w:tcW w:type="dxa" w:w="2858"/>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b w:val="false"/>
                <w:bCs w:val="false"/>
                <w:color w:val="2B2B2B"/>
                <w:sz w:val="18"/>
                <w:szCs w:val="18"/>
              </w:rPr>
              <w:t xml:space="preserve">learn.cognite.com</w:t>
            </w:r>
          </w:p>
        </w:tc>
        <w:tc>
          <w:tcPr>
            <w:tcW w:type="dxa" w:w="6668"/>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b w:val="false"/>
                <w:bCs w:val="false"/>
                <w:color w:val="2B2B2B"/>
                <w:sz w:val="18"/>
                <w:szCs w:val="18"/>
              </w:rPr>
              <w:t xml:space="preserve">Cognite Academy: courses, learning paths, instructor-led sessions</w:t>
            </w:r>
          </w:p>
        </w:tc>
      </w:tr>
      <w:tr>
        <w:trPr>
          <w:cantSplit/>
        </w:trPr>
        <w:tc>
          <w:tcPr>
            <w:tcW w:type="dxa" w:w="2858"/>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b w:val="false"/>
                <w:bCs w:val="false"/>
                <w:color w:val="2B2B2B"/>
                <w:sz w:val="18"/>
                <w:szCs w:val="18"/>
              </w:rPr>
              <w:t xml:space="preserve">hub.cognite.com</w:t>
            </w:r>
          </w:p>
        </w:tc>
        <w:tc>
          <w:tcPr>
            <w:tcW w:type="dxa" w:w="6668"/>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b w:val="false"/>
                <w:bCs w:val="false"/>
                <w:color w:val="2B2B2B"/>
                <w:sz w:val="18"/>
                <w:szCs w:val="18"/>
              </w:rPr>
              <w:t xml:space="preserve">The community: user discussions, product ideas, what's new, use cases</w:t>
            </w:r>
          </w:p>
        </w:tc>
      </w:tr>
      <w:tr>
        <w:trPr>
          <w:cantSplit/>
        </w:trPr>
        <w:tc>
          <w:tcPr>
            <w:tcW w:type="dxa" w:w="2858"/>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b w:val="false"/>
                <w:bCs w:val="false"/>
                <w:color w:val="2B2B2B"/>
                <w:sz w:val="18"/>
                <w:szCs w:val="18"/>
              </w:rPr>
              <w:t xml:space="preserve">support.cognite.com</w:t>
            </w:r>
          </w:p>
        </w:tc>
        <w:tc>
          <w:tcPr>
            <w:tcW w:type="dxa" w:w="6668"/>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jc w:val="left"/>
            </w:pPr>
            <w:r>
              <w:rPr>
                <w:b w:val="false"/>
                <w:bCs w:val="false"/>
                <w:color w:val="2B2B2B"/>
                <w:sz w:val="18"/>
                <w:szCs w:val="18"/>
              </w:rPr>
              <w:t xml:space="preserve">Support tickets and the knowledge base</w:t>
            </w:r>
          </w:p>
        </w:tc>
      </w:tr>
      <w:tr>
        <w:trPr>
          <w:cantSplit/>
        </w:trPr>
        <w:tc>
          <w:tcPr>
            <w:tcW w:type="dxa" w:w="2858"/>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status.cognite.com</w:t>
            </w:r>
          </w:p>
        </w:tc>
        <w:tc>
          <w:tcPr>
            <w:tcW w:type="dxa" w:w="6668"/>
            <w:tcBorders>
              <w:top w:val="single" w:color="B8C4D6" w:sz="4"/>
              <w:left w:val="single" w:color="B8C4D6" w:sz="4"/>
              <w:bottom w:val="single" w:color="B8C4D6" w:sz="4"/>
              <w:right w:val="single" w:color="B8C4D6" w:sz="4"/>
            </w:tcBorders>
            <w:tcMar>
              <w:top w:type="dxa" w:w="70"/>
              <w:left w:type="dxa" w:w="110"/>
              <w:bottom w:type="dxa" w:w="70"/>
              <w:right w:type="dxa" w:w="110"/>
            </w:tcMar>
            <w:vAlign w:val="center"/>
          </w:tcPr>
          <w:p>
            <w:pPr>
              <w:keepNext w:val="false"/>
              <w:jc w:val="left"/>
            </w:pPr>
            <w:r>
              <w:rPr>
                <w:b w:val="false"/>
                <w:bCs w:val="false"/>
                <w:color w:val="2B2B2B"/>
                <w:sz w:val="18"/>
                <w:szCs w:val="18"/>
              </w:rPr>
              <w:t xml:space="preserve">Service and cluster status, incidents and maintenance</w:t>
            </w:r>
          </w:p>
        </w:tc>
      </w:tr>
    </w:tbl>
    <w:sectPr>
      <w:headerReference w:type="default" r:id="rId6"/>
      <w:footerReference w:type="default" r:id="rId7"/>
      <w:pgSz w:w="11906" w:h="16838" w:orient="portrait"/>
      <w:pgMar w:top="1190" w:right="1190" w:bottom="1190" w:left="119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C4D6" w:sz="4" w:space="6"/>
      </w:pBdr>
      <w:tabs>
        <w:tab w:val="right" w:pos="9526"/>
      </w:tabs>
    </w:pPr>
    <w:r>
      <w:rPr>
        <w:color w:val="5F6B7A"/>
        <w:sz w:val="16"/>
        <w:szCs w:val="16"/>
      </w:rPr>
      <w:t xml:space="preserve">Gaetan DESBRUERES - EOS Engineer - OT/TL/EOS</w:t>
    </w:r>
    <w:r>
      <w:rPr>
        <w:color w:val="5F6B7A"/>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F6B7A"/>
        <w:sz w:val="16"/>
        <w:szCs w:val="16"/>
      </w:rPr>
      <w:t xml:space="preserve">Cognite Data Fusion Bootcamp · Memo · 6 October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B2B2B"/>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Arial" w:cs="Arial" w:eastAsia="Arial" w:hAnsi="Arial"/>
      <w:b/>
      <w:bCs/>
      <w:color w:val="14213D"/>
      <w:sz w:val="28"/>
      <w:szCs w:val="28"/>
    </w:rPr>
  </w:style>
  <w:style w:type="paragraph" w:styleId="Heading2">
    <w:name w:val="Heading 2"/>
    <w:basedOn w:val="Normal"/>
    <w:next w:val="Normal"/>
    <w:qFormat/>
    <w:pPr>
      <w:keepNext/>
      <w:spacing w:after="100" w:before="240"/>
      <w:outlineLvl w:val="1"/>
    </w:pPr>
    <w:rPr>
      <w:rFonts w:ascii="Arial" w:cs="Arial" w:eastAsia="Arial" w:hAnsi="Arial"/>
      <w:b/>
      <w:bCs/>
      <w:color w:val="14213D"/>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f5acc50a066b7cbdffceefcb1803693c111ea7ed.png"/><Relationship Id="rId10" Type="http://schemas.openxmlformats.org/officeDocument/2006/relationships/image" Target="media/8d930d0892e685dae5e46e23c9445b5e5a5751ec.jpg"/><Relationship Id="rId11" Type="http://schemas.openxmlformats.org/officeDocument/2006/relationships/image" Target="media/802f9862c3d5aa6b088cf77ecf1139a0da671af1.jpg"/><Relationship Id="rId12" Type="http://schemas.openxmlformats.org/officeDocument/2006/relationships/image" Target="media/3318b09e90251159563cf13af361c559d5f7decc.jpg"/><Relationship Id="rId13" Type="http://schemas.openxmlformats.org/officeDocument/2006/relationships/image" Target="media/4d22138db406eba70db8a40ac45612bf221efc8d.jpg"/><Relationship Id="rId14" Type="http://schemas.openxmlformats.org/officeDocument/2006/relationships/image" Target="media/cb041d54001ef483d0cd32cd3d44c0547aea7ee5.jpg"/><Relationship Id="rId15" Type="http://schemas.openxmlformats.org/officeDocument/2006/relationships/image" Target="media/8f16d14eb78aeab27282a3cee2919f8a4efc7b66.jpg"/><Relationship Id="rId16" Type="http://schemas.openxmlformats.org/officeDocument/2006/relationships/image" Target="media/8a927ac378834ce8578bd7f8507bf7b12ecdca26.jpg"/><Relationship Id="rId17" Type="http://schemas.openxmlformats.org/officeDocument/2006/relationships/image" Target="media/8ba3f9129273ed77a7184c5930b5e9da16a286f4.jpg"/><Relationship Id="rId18" Type="http://schemas.openxmlformats.org/officeDocument/2006/relationships/image" Target="media/677cb1aaa5e223fded9b58999ca7d63846a0b5e4.jpg"/><Relationship Id="rId19" Type="http://schemas.openxmlformats.org/officeDocument/2006/relationships/image" Target="media/b1ba8184491562df02bf9c73378452dee88a69ed.jpg"/><Relationship Id="rId20" Type="http://schemas.openxmlformats.org/officeDocument/2006/relationships/image" Target="media/bfce5264cca73b14cc09ed942452c86ce175c6f4.jpg"/><Relationship Id="rId21" Type="http://schemas.openxmlformats.org/officeDocument/2006/relationships/image" Target="media/051f0498569921a52c7b72ef327205d40b4706ef.jpg"/><Relationship Id="rId22" Type="http://schemas.openxmlformats.org/officeDocument/2006/relationships/image" Target="media/c796237ced5c11b4df8017f6f067c3e657bdc267.jpg"/><Relationship Id="rId23" Type="http://schemas.openxmlformats.org/officeDocument/2006/relationships/image" Target="media/2fb9b92765f8bb2fc408a6e7b8bb1acb6c7dfc55.jpg"/><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 Cognite Data Fusion Bootcamp</dc:title>
  <dc:creator>Gaetan Desbrueres</dc:creator>
  <dc:description>End-to-end OEE pipeline built as code and running in test and production</dc:description>
  <cp:lastModifiedBy>Un-named</cp:lastModifiedBy>
  <cp:revision>1</cp:revision>
  <dcterms:created xsi:type="dcterms:W3CDTF">2026-10-06T10:01:59.682Z</dcterms:created>
  <dcterms:modified xsi:type="dcterms:W3CDTF">2026-10-06T10:01:59.683Z</dcterms:modified>
</cp:coreProperties>
</file>

<file path=docProps/custom.xml><?xml version="1.0" encoding="utf-8"?>
<Properties xmlns="http://schemas.openxmlformats.org/officeDocument/2006/custom-properties" xmlns:vt="http://schemas.openxmlformats.org/officeDocument/2006/docPropsVTypes"/>
</file>