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A1BE5" w14:textId="77777777" w:rsidR="00AF58B3" w:rsidRDefault="005517AA">
      <w:pPr>
        <w:pStyle w:val="1"/>
        <w:widowControl/>
        <w:pBdr>
          <w:top w:val="none" w:sz="0" w:space="0" w:color="000000"/>
          <w:left w:val="none" w:sz="0" w:space="0" w:color="000000"/>
          <w:bottom w:val="none" w:sz="0" w:space="0" w:color="000000"/>
          <w:right w:val="none" w:sz="0" w:space="0" w:color="000000"/>
        </w:pBdr>
        <w:spacing w:before="50" w:beforeAutospacing="0" w:after="100" w:afterAutospacing="0" w:line="288" w:lineRule="atLeast"/>
        <w:jc w:val="both"/>
        <w:textAlignment w:val="baseline"/>
        <w:rPr>
          <w:rFonts w:ascii="Times New Roman" w:eastAsia="&amp;quot" w:hAnsi="Times New Roman" w:hint="default"/>
          <w:color w:val="000000"/>
          <w:sz w:val="24"/>
          <w:szCs w:val="24"/>
        </w:rPr>
      </w:pPr>
      <w:r>
        <w:rPr>
          <w:rFonts w:ascii="Times New Roman" w:eastAsia="&amp;quot" w:hAnsi="Times New Roman" w:hint="default"/>
          <w:color w:val="000000"/>
          <w:sz w:val="24"/>
          <w:szCs w:val="24"/>
          <w:bdr w:val="none" w:sz="0" w:space="0" w:color="000000"/>
        </w:rPr>
        <w:t>Article XVII - v0.4.0 Draft EOS.IO Constitution - Choice of Law</w:t>
      </w:r>
      <w:r>
        <w:rPr>
          <w:rStyle w:val="a7"/>
          <w:rFonts w:ascii="Times New Roman" w:eastAsia="&amp;quot" w:hAnsi="Times New Roman" w:hint="default"/>
          <w:color w:val="000000"/>
          <w:sz w:val="24"/>
          <w:szCs w:val="24"/>
          <w:bdr w:val="none" w:sz="0" w:space="0" w:color="000000"/>
        </w:rPr>
        <w:footnoteReference w:id="1"/>
      </w:r>
    </w:p>
    <w:p w14:paraId="182A1BE6" w14:textId="77777777" w:rsidR="00AF58B3" w:rsidRDefault="00AF58B3">
      <w:pPr>
        <w:pStyle w:val="1"/>
        <w:widowControl/>
        <w:pBdr>
          <w:top w:val="none" w:sz="0" w:space="0" w:color="000000"/>
          <w:left w:val="none" w:sz="0" w:space="0" w:color="000000"/>
          <w:bottom w:val="none" w:sz="0" w:space="0" w:color="000000"/>
          <w:right w:val="none" w:sz="0" w:space="0" w:color="000000"/>
        </w:pBdr>
        <w:spacing w:before="150" w:beforeAutospacing="0" w:after="272" w:afterAutospacing="0" w:line="244" w:lineRule="atLeast"/>
        <w:jc w:val="both"/>
        <w:textAlignment w:val="baseline"/>
        <w:rPr>
          <w:rFonts w:ascii="Times New Roman" w:eastAsia="&amp;quot" w:hAnsi="Times New Roman" w:hint="default"/>
          <w:color w:val="000000"/>
          <w:sz w:val="24"/>
          <w:szCs w:val="24"/>
          <w:bdr w:val="none" w:sz="0" w:space="0" w:color="000000"/>
        </w:rPr>
      </w:pPr>
    </w:p>
    <w:p w14:paraId="182A1BE7" w14:textId="77777777" w:rsidR="00AF58B3" w:rsidRDefault="005517AA">
      <w:pPr>
        <w:pStyle w:val="1"/>
        <w:widowControl/>
        <w:pBdr>
          <w:top w:val="none" w:sz="0" w:space="0" w:color="000000"/>
          <w:left w:val="none" w:sz="0" w:space="0" w:color="000000"/>
          <w:bottom w:val="none" w:sz="0" w:space="0" w:color="000000"/>
          <w:right w:val="none" w:sz="0" w:space="0" w:color="000000"/>
        </w:pBdr>
        <w:spacing w:before="150" w:beforeAutospacing="0" w:after="272" w:afterAutospacing="0" w:line="244" w:lineRule="atLeast"/>
        <w:jc w:val="both"/>
        <w:textAlignment w:val="baseline"/>
        <w:rPr>
          <w:rFonts w:ascii="Times New Roman" w:eastAsia="&amp;quot" w:hAnsi="Times New Roman" w:hint="default"/>
          <w:color w:val="000000"/>
          <w:sz w:val="24"/>
          <w:szCs w:val="24"/>
        </w:rPr>
      </w:pPr>
      <w:r>
        <w:rPr>
          <w:rFonts w:ascii="Times New Roman" w:eastAsia="&amp;quot" w:hAnsi="Times New Roman" w:hint="default"/>
          <w:color w:val="000000"/>
          <w:sz w:val="24"/>
          <w:szCs w:val="24"/>
          <w:bdr w:val="none" w:sz="0" w:space="0" w:color="000000"/>
        </w:rPr>
        <w:t>Purpose</w:t>
      </w:r>
    </w:p>
    <w:p w14:paraId="182A1BE8" w14:textId="77777777" w:rsidR="00AF58B3" w:rsidRDefault="005517AA">
      <w:pPr>
        <w:pStyle w:val="a4"/>
        <w:widowControl/>
        <w:pBdr>
          <w:top w:val="none" w:sz="0" w:space="0" w:color="333333"/>
          <w:left w:val="none" w:sz="0" w:space="0" w:color="333333"/>
          <w:bottom w:val="none" w:sz="0" w:space="0" w:color="333333"/>
          <w:right w:val="none" w:sz="0" w:space="0" w:color="333333"/>
        </w:pBdr>
        <w:spacing w:before="150" w:beforeAutospacing="0" w:after="272" w:afterAutospacing="0" w:line="244" w:lineRule="atLeast"/>
        <w:jc w:val="both"/>
        <w:textAlignment w:val="baseline"/>
        <w:rPr>
          <w:rFonts w:ascii="Times New Roman" w:eastAsia="Helvetica Neue" w:hAnsi="Times New Roman"/>
        </w:rPr>
      </w:pPr>
      <w:r>
        <w:rPr>
          <w:rFonts w:ascii="Times New Roman" w:eastAsia="Helvetica Neue" w:hAnsi="Times New Roman"/>
          <w:color w:val="333333"/>
        </w:rPr>
        <w:t>Establishes the "choice of law" for aspects of legal interpretation, including arbitration, in which the Constitution is silent or ambiguous.</w:t>
      </w:r>
    </w:p>
    <w:p w14:paraId="182A1BE9" w14:textId="77777777" w:rsidR="00AF58B3" w:rsidRDefault="005517AA">
      <w:pPr>
        <w:pStyle w:val="1"/>
        <w:widowControl/>
        <w:pBdr>
          <w:top w:val="none" w:sz="0" w:space="0" w:color="000000"/>
          <w:left w:val="none" w:sz="0" w:space="0" w:color="000000"/>
          <w:bottom w:val="none" w:sz="0" w:space="0" w:color="000000"/>
          <w:right w:val="none" w:sz="0" w:space="0" w:color="000000"/>
        </w:pBdr>
        <w:spacing w:before="150" w:beforeAutospacing="0" w:after="272" w:afterAutospacing="0" w:line="244" w:lineRule="atLeast"/>
        <w:jc w:val="both"/>
        <w:textAlignment w:val="baseline"/>
        <w:rPr>
          <w:rFonts w:ascii="Times New Roman" w:eastAsia="&amp;quot" w:hAnsi="Times New Roman" w:hint="default"/>
          <w:color w:val="000000"/>
          <w:sz w:val="24"/>
          <w:szCs w:val="24"/>
        </w:rPr>
      </w:pPr>
      <w:r>
        <w:rPr>
          <w:rFonts w:ascii="Times New Roman" w:eastAsia="&amp;quot" w:hAnsi="Times New Roman" w:hint="default"/>
          <w:color w:val="000000"/>
          <w:sz w:val="24"/>
          <w:szCs w:val="24"/>
          <w:bdr w:val="none" w:sz="0" w:space="0" w:color="000000"/>
        </w:rPr>
        <w:t>Text of Article</w:t>
      </w:r>
    </w:p>
    <w:p w14:paraId="182A1BEA" w14:textId="5DA6F3FB" w:rsidR="00AF58B3" w:rsidRDefault="005517AA">
      <w:pPr>
        <w:pStyle w:val="a4"/>
        <w:widowControl/>
        <w:pBdr>
          <w:top w:val="none" w:sz="0" w:space="0" w:color="333333"/>
          <w:left w:val="none" w:sz="0" w:space="0" w:color="333333"/>
          <w:bottom w:val="none" w:sz="0" w:space="0" w:color="333333"/>
          <w:right w:val="none" w:sz="0" w:space="0" w:color="333333"/>
        </w:pBdr>
        <w:spacing w:before="150" w:beforeAutospacing="0" w:after="272" w:afterAutospacing="0" w:line="244" w:lineRule="atLeast"/>
        <w:jc w:val="both"/>
        <w:textAlignment w:val="baseline"/>
        <w:rPr>
          <w:rFonts w:ascii="Times New Roman" w:eastAsia="Helvetica Neue" w:hAnsi="Times New Roman"/>
        </w:rPr>
      </w:pPr>
      <w:r w:rsidRPr="005517AA">
        <w:rPr>
          <w:rFonts w:ascii="Times New Roman" w:eastAsia="Helvetica Neue" w:hAnsi="Times New Roman"/>
        </w:rPr>
        <w:t>Choice of law for disputes shall be, in order of precedence, this Constitution, the Maxims of Equity, and the laws of Malta.</w:t>
      </w:r>
      <w:bookmarkStart w:id="0" w:name="_GoBack"/>
      <w:bookmarkEnd w:id="0"/>
    </w:p>
    <w:p w14:paraId="182A1BEB" w14:textId="77777777" w:rsidR="00AF58B3" w:rsidRDefault="005517AA">
      <w:pPr>
        <w:pStyle w:val="1"/>
        <w:widowControl/>
        <w:pBdr>
          <w:top w:val="none" w:sz="0" w:space="0" w:color="000000"/>
          <w:left w:val="none" w:sz="0" w:space="0" w:color="000000"/>
          <w:bottom w:val="none" w:sz="0" w:space="0" w:color="000000"/>
          <w:right w:val="none" w:sz="0" w:space="0" w:color="000000"/>
        </w:pBdr>
        <w:spacing w:before="150" w:beforeAutospacing="0" w:after="272" w:afterAutospacing="0" w:line="244" w:lineRule="atLeast"/>
        <w:jc w:val="both"/>
        <w:textAlignment w:val="baseline"/>
        <w:rPr>
          <w:rFonts w:ascii="Times New Roman" w:eastAsia="&amp;quot" w:hAnsi="Times New Roman" w:hint="default"/>
          <w:color w:val="000000"/>
          <w:sz w:val="24"/>
          <w:szCs w:val="24"/>
        </w:rPr>
      </w:pPr>
      <w:r>
        <w:rPr>
          <w:rFonts w:ascii="Times New Roman" w:eastAsia="&amp;quot" w:hAnsi="Times New Roman" w:hint="default"/>
          <w:color w:val="000000"/>
          <w:sz w:val="24"/>
          <w:szCs w:val="24"/>
          <w:bdr w:val="none" w:sz="0" w:space="0" w:color="000000"/>
        </w:rPr>
        <w:t>Discussion</w:t>
      </w:r>
    </w:p>
    <w:p w14:paraId="182A1BEC" w14:textId="77777777" w:rsidR="00AF58B3" w:rsidRDefault="005517AA">
      <w:pPr>
        <w:pStyle w:val="a4"/>
        <w:widowControl/>
        <w:pBdr>
          <w:top w:val="none" w:sz="0" w:space="0" w:color="333333"/>
          <w:left w:val="none" w:sz="0" w:space="0" w:color="333333"/>
          <w:bottom w:val="none" w:sz="0" w:space="0" w:color="333333"/>
          <w:right w:val="none" w:sz="0" w:space="0" w:color="333333"/>
        </w:pBdr>
        <w:spacing w:before="150" w:beforeAutospacing="0" w:after="272" w:afterAutospacing="0" w:line="244" w:lineRule="atLeast"/>
        <w:jc w:val="both"/>
        <w:textAlignment w:val="baseline"/>
        <w:rPr>
          <w:rFonts w:ascii="Times New Roman" w:eastAsia="Helvetica Neue" w:hAnsi="Times New Roman"/>
        </w:rPr>
      </w:pPr>
      <w:r>
        <w:rPr>
          <w:rFonts w:ascii="Times New Roman" w:eastAsia="Helvetica Neue" w:hAnsi="Times New Roman"/>
          <w:color w:val="333333"/>
        </w:rPr>
        <w:t>I've been considering leaving this out of the Constitution entirely and letting the Arbitration system manage choice-of-law. On reflection</w:t>
      </w:r>
      <w:r>
        <w:rPr>
          <w:rFonts w:ascii="Times New Roman" w:eastAsia="Helvetica Neue" w:hAnsi="Times New Roman"/>
          <w:color w:val="333333"/>
        </w:rPr>
        <w:t xml:space="preserve"> I want to offer this Article, because I want the community to know about this topic in advance, rather than finding out (like opening a surprise present) later when a dispute is in the process of arbitration.</w:t>
      </w:r>
    </w:p>
    <w:p w14:paraId="182A1BED" w14:textId="77777777" w:rsidR="00AF58B3" w:rsidRDefault="005517AA">
      <w:pPr>
        <w:pStyle w:val="a4"/>
        <w:widowControl/>
        <w:pBdr>
          <w:top w:val="none" w:sz="0" w:space="0" w:color="333333"/>
          <w:left w:val="none" w:sz="0" w:space="0" w:color="333333"/>
          <w:bottom w:val="none" w:sz="0" w:space="0" w:color="333333"/>
          <w:right w:val="none" w:sz="0" w:space="0" w:color="333333"/>
        </w:pBdr>
        <w:spacing w:before="150" w:beforeAutospacing="0" w:after="272" w:afterAutospacing="0" w:line="244" w:lineRule="atLeast"/>
        <w:jc w:val="both"/>
        <w:textAlignment w:val="baseline"/>
        <w:rPr>
          <w:rFonts w:ascii="Times New Roman" w:eastAsia="Helvetica Neue" w:hAnsi="Times New Roman"/>
        </w:rPr>
      </w:pPr>
      <w:proofErr w:type="gramStart"/>
      <w:r>
        <w:rPr>
          <w:rFonts w:ascii="Times New Roman" w:eastAsia="Helvetica Neue" w:hAnsi="Times New Roman"/>
          <w:color w:val="333333"/>
        </w:rPr>
        <w:t>Obviously</w:t>
      </w:r>
      <w:proofErr w:type="gramEnd"/>
      <w:r>
        <w:rPr>
          <w:rFonts w:ascii="Times New Roman" w:eastAsia="Helvetica Neue" w:hAnsi="Times New Roman"/>
          <w:color w:val="333333"/>
        </w:rPr>
        <w:t xml:space="preserve"> this Constitution is the supreme law</w:t>
      </w:r>
      <w:r>
        <w:rPr>
          <w:rFonts w:ascii="Times New Roman" w:eastAsia="Helvetica Neue" w:hAnsi="Times New Roman"/>
          <w:color w:val="333333"/>
        </w:rPr>
        <w:t xml:space="preserve"> of whatever blockchain community adopts it.</w:t>
      </w:r>
    </w:p>
    <w:p w14:paraId="182A1BEE" w14:textId="77777777" w:rsidR="00AF58B3" w:rsidRDefault="005517AA">
      <w:pPr>
        <w:pStyle w:val="a4"/>
        <w:widowControl/>
        <w:pBdr>
          <w:top w:val="none" w:sz="0" w:space="0" w:color="333333"/>
          <w:left w:val="none" w:sz="0" w:space="0" w:color="333333"/>
          <w:bottom w:val="none" w:sz="0" w:space="0" w:color="333333"/>
          <w:right w:val="none" w:sz="0" w:space="0" w:color="333333"/>
        </w:pBdr>
        <w:spacing w:before="150" w:beforeAutospacing="0" w:after="272" w:afterAutospacing="0" w:line="244" w:lineRule="atLeast"/>
        <w:jc w:val="both"/>
        <w:textAlignment w:val="baseline"/>
        <w:rPr>
          <w:rFonts w:ascii="Times New Roman" w:eastAsia="Helvetica Neue" w:hAnsi="Times New Roman"/>
        </w:rPr>
      </w:pPr>
      <w:r>
        <w:rPr>
          <w:rFonts w:ascii="Times New Roman" w:eastAsia="Helvetica Neue" w:hAnsi="Times New Roman"/>
          <w:color w:val="333333"/>
        </w:rPr>
        <w:t>But the Constitution is very brief and cannot anticipate all cases. It's augmented by the commentary on each article, which will help arbitrators. But is that enough? No.</w:t>
      </w:r>
    </w:p>
    <w:p w14:paraId="182A1BEF" w14:textId="77777777" w:rsidR="00AF58B3" w:rsidRDefault="005517AA">
      <w:pPr>
        <w:pStyle w:val="2"/>
        <w:widowControl/>
        <w:pBdr>
          <w:top w:val="none" w:sz="0" w:space="0" w:color="000000"/>
          <w:left w:val="none" w:sz="0" w:space="0" w:color="000000"/>
          <w:bottom w:val="none" w:sz="0" w:space="0" w:color="000000"/>
          <w:right w:val="none" w:sz="0" w:space="0" w:color="000000"/>
        </w:pBdr>
        <w:spacing w:before="150" w:beforeAutospacing="0" w:after="272" w:afterAutospacing="0" w:line="244" w:lineRule="atLeast"/>
        <w:jc w:val="both"/>
        <w:textAlignment w:val="baseline"/>
        <w:rPr>
          <w:rFonts w:ascii="Times New Roman" w:eastAsia="&amp;quot" w:hAnsi="Times New Roman" w:hint="default"/>
          <w:color w:val="000000"/>
          <w:sz w:val="24"/>
          <w:szCs w:val="24"/>
        </w:rPr>
      </w:pPr>
      <w:r>
        <w:rPr>
          <w:rFonts w:ascii="Times New Roman" w:eastAsia="&amp;quot" w:hAnsi="Times New Roman" w:hint="default"/>
          <w:color w:val="000000"/>
          <w:sz w:val="24"/>
          <w:szCs w:val="24"/>
          <w:bdr w:val="none" w:sz="0" w:space="0" w:color="000000"/>
        </w:rPr>
        <w:t xml:space="preserve">Why the Maxims of </w:t>
      </w:r>
      <w:proofErr w:type="gramStart"/>
      <w:r>
        <w:rPr>
          <w:rFonts w:ascii="Times New Roman" w:eastAsia="&amp;quot" w:hAnsi="Times New Roman" w:hint="default"/>
          <w:color w:val="000000"/>
          <w:sz w:val="24"/>
          <w:szCs w:val="24"/>
          <w:bdr w:val="none" w:sz="0" w:space="0" w:color="000000"/>
        </w:rPr>
        <w:t>Equity</w:t>
      </w:r>
      <w:proofErr w:type="gramEnd"/>
    </w:p>
    <w:p w14:paraId="182A1BF0" w14:textId="77777777" w:rsidR="00AF58B3" w:rsidRDefault="005517AA">
      <w:pPr>
        <w:pStyle w:val="a4"/>
        <w:widowControl/>
        <w:pBdr>
          <w:top w:val="none" w:sz="0" w:space="0" w:color="333333"/>
          <w:left w:val="none" w:sz="0" w:space="0" w:color="333333"/>
          <w:bottom w:val="none" w:sz="0" w:space="0" w:color="333333"/>
          <w:right w:val="none" w:sz="0" w:space="0" w:color="333333"/>
        </w:pBdr>
        <w:spacing w:before="150" w:beforeAutospacing="0" w:after="272" w:afterAutospacing="0" w:line="244" w:lineRule="atLeast"/>
        <w:jc w:val="both"/>
        <w:textAlignment w:val="baseline"/>
        <w:rPr>
          <w:rFonts w:ascii="Times New Roman" w:eastAsia="Helvetica Neue" w:hAnsi="Times New Roman"/>
        </w:rPr>
      </w:pPr>
      <w:r>
        <w:rPr>
          <w:rFonts w:ascii="Times New Roman" w:eastAsia="Helvetica Neue" w:hAnsi="Times New Roman"/>
          <w:color w:val="333333"/>
        </w:rPr>
        <w:t xml:space="preserve">The Maxims of </w:t>
      </w:r>
      <w:r>
        <w:rPr>
          <w:rFonts w:ascii="Times New Roman" w:eastAsia="Helvetica Neue" w:hAnsi="Times New Roman"/>
          <w:color w:val="333333"/>
        </w:rPr>
        <w:t xml:space="preserve">Equity are a </w:t>
      </w:r>
      <w:proofErr w:type="spellStart"/>
      <w:proofErr w:type="gramStart"/>
      <w:r>
        <w:rPr>
          <w:rFonts w:ascii="Times New Roman" w:eastAsia="Helvetica Neue" w:hAnsi="Times New Roman"/>
          <w:color w:val="333333"/>
        </w:rPr>
        <w:t>well regarded</w:t>
      </w:r>
      <w:proofErr w:type="spellEnd"/>
      <w:proofErr w:type="gramEnd"/>
      <w:r>
        <w:rPr>
          <w:rFonts w:ascii="Times New Roman" w:eastAsia="Helvetica Neue" w:hAnsi="Times New Roman"/>
          <w:color w:val="333333"/>
        </w:rPr>
        <w:t xml:space="preserve"> collection of maxims or sayings, that encapsulate the idea of fairness and justice, particularly regarding property. Dan has previously referenced the Maxims of Equity as a candidate for Choice of Law for the EOS Constitution.</w:t>
      </w:r>
    </w:p>
    <w:p w14:paraId="182A1BF1" w14:textId="77777777" w:rsidR="00AF58B3" w:rsidRDefault="005517AA">
      <w:pPr>
        <w:pStyle w:val="a4"/>
        <w:widowControl/>
        <w:pBdr>
          <w:top w:val="none" w:sz="0" w:space="0" w:color="333333"/>
          <w:left w:val="none" w:sz="0" w:space="0" w:color="333333"/>
          <w:bottom w:val="none" w:sz="0" w:space="0" w:color="333333"/>
          <w:right w:val="none" w:sz="0" w:space="0" w:color="333333"/>
        </w:pBdr>
        <w:spacing w:before="150" w:beforeAutospacing="0" w:after="272" w:afterAutospacing="0" w:line="244" w:lineRule="atLeast"/>
        <w:jc w:val="both"/>
        <w:textAlignment w:val="baseline"/>
        <w:rPr>
          <w:rFonts w:ascii="Times New Roman" w:eastAsia="Helvetica Neue" w:hAnsi="Times New Roman"/>
        </w:rPr>
      </w:pPr>
      <w:r>
        <w:rPr>
          <w:rFonts w:ascii="Times New Roman" w:eastAsia="Helvetica Neue" w:hAnsi="Times New Roman"/>
          <w:color w:val="333333"/>
        </w:rPr>
        <w:t>Th</w:t>
      </w:r>
      <w:r>
        <w:rPr>
          <w:rFonts w:ascii="Times New Roman" w:eastAsia="Helvetica Neue" w:hAnsi="Times New Roman"/>
          <w:color w:val="333333"/>
        </w:rPr>
        <w:t>e Maxims are not location-dependent or culture-dependent, making them a good option for providing backup to the text of the Constitution.</w:t>
      </w:r>
    </w:p>
    <w:p w14:paraId="182A1BF2" w14:textId="77777777" w:rsidR="00AF58B3" w:rsidRDefault="005517AA">
      <w:pPr>
        <w:pStyle w:val="2"/>
        <w:widowControl/>
        <w:pBdr>
          <w:top w:val="none" w:sz="0" w:space="0" w:color="000000"/>
          <w:left w:val="none" w:sz="0" w:space="0" w:color="000000"/>
          <w:bottom w:val="none" w:sz="0" w:space="0" w:color="000000"/>
          <w:right w:val="none" w:sz="0" w:space="0" w:color="000000"/>
        </w:pBdr>
        <w:spacing w:before="150" w:beforeAutospacing="0" w:after="272" w:afterAutospacing="0" w:line="244" w:lineRule="atLeast"/>
        <w:jc w:val="both"/>
        <w:textAlignment w:val="baseline"/>
        <w:rPr>
          <w:rFonts w:ascii="Times New Roman" w:eastAsia="&amp;quot" w:hAnsi="Times New Roman" w:hint="default"/>
          <w:color w:val="000000"/>
          <w:sz w:val="24"/>
          <w:szCs w:val="24"/>
        </w:rPr>
      </w:pPr>
      <w:r>
        <w:rPr>
          <w:rFonts w:ascii="Times New Roman" w:eastAsia="&amp;quot" w:hAnsi="Times New Roman" w:hint="default"/>
          <w:color w:val="000000"/>
          <w:sz w:val="24"/>
          <w:szCs w:val="24"/>
          <w:bdr w:val="none" w:sz="0" w:space="0" w:color="000000"/>
        </w:rPr>
        <w:t>Why Malta</w:t>
      </w:r>
    </w:p>
    <w:p w14:paraId="182A1BF3" w14:textId="77777777" w:rsidR="00AF58B3" w:rsidRDefault="005517AA">
      <w:pPr>
        <w:pStyle w:val="a4"/>
        <w:widowControl/>
        <w:pBdr>
          <w:top w:val="none" w:sz="0" w:space="0" w:color="333333"/>
          <w:left w:val="none" w:sz="0" w:space="0" w:color="333333"/>
          <w:bottom w:val="none" w:sz="0" w:space="0" w:color="333333"/>
          <w:right w:val="none" w:sz="0" w:space="0" w:color="333333"/>
        </w:pBdr>
        <w:spacing w:before="150" w:beforeAutospacing="0" w:after="272" w:afterAutospacing="0" w:line="244" w:lineRule="atLeast"/>
        <w:jc w:val="both"/>
        <w:textAlignment w:val="baseline"/>
        <w:rPr>
          <w:rFonts w:ascii="Times New Roman" w:eastAsia="Helvetica Neue" w:hAnsi="Times New Roman"/>
        </w:rPr>
      </w:pPr>
      <w:r>
        <w:rPr>
          <w:rFonts w:ascii="Times New Roman" w:eastAsia="Helvetica Neue" w:hAnsi="Times New Roman"/>
          <w:color w:val="333333"/>
        </w:rPr>
        <w:t>The choice for choice-of-law was guided by these values</w:t>
      </w:r>
    </w:p>
    <w:p w14:paraId="182A1BF4" w14:textId="77777777" w:rsidR="00AF58B3" w:rsidRDefault="005517AA">
      <w:pPr>
        <w:widowControl/>
        <w:numPr>
          <w:ilvl w:val="0"/>
          <w:numId w:val="1"/>
        </w:numPr>
        <w:pBdr>
          <w:top w:val="none" w:sz="0" w:space="0" w:color="333333"/>
          <w:left w:val="none" w:sz="0" w:space="0" w:color="333333"/>
          <w:bottom w:val="none" w:sz="0" w:space="0" w:color="333333"/>
          <w:right w:val="none" w:sz="0" w:space="0" w:color="333333"/>
        </w:pBdr>
        <w:spacing w:before="50" w:after="50" w:line="244" w:lineRule="atLeast"/>
        <w:ind w:left="430"/>
        <w:textAlignment w:val="baseline"/>
        <w:rPr>
          <w:rFonts w:ascii="Times New Roman" w:eastAsia="Helvetica Neue" w:hAnsi="Times New Roman" w:cs="Times New Roman"/>
          <w:sz w:val="24"/>
        </w:rPr>
      </w:pPr>
      <w:r>
        <w:rPr>
          <w:rFonts w:ascii="Times New Roman" w:eastAsia="Helvetica Neue" w:hAnsi="Times New Roman" w:cs="Times New Roman"/>
          <w:color w:val="333333"/>
          <w:sz w:val="24"/>
          <w:bdr w:val="none" w:sz="0" w:space="0" w:color="333333"/>
        </w:rPr>
        <w:t xml:space="preserve">Small and obscure is better than big and </w:t>
      </w:r>
      <w:proofErr w:type="spellStart"/>
      <w:r>
        <w:rPr>
          <w:rFonts w:ascii="Times New Roman" w:eastAsia="Helvetica Neue" w:hAnsi="Times New Roman" w:cs="Times New Roman"/>
          <w:color w:val="333333"/>
          <w:sz w:val="24"/>
          <w:bdr w:val="none" w:sz="0" w:space="0" w:color="333333"/>
        </w:rPr>
        <w:t>familar</w:t>
      </w:r>
      <w:proofErr w:type="spellEnd"/>
    </w:p>
    <w:p w14:paraId="182A1BF5" w14:textId="77777777" w:rsidR="00AF58B3" w:rsidRDefault="005517AA">
      <w:pPr>
        <w:widowControl/>
        <w:numPr>
          <w:ilvl w:val="0"/>
          <w:numId w:val="1"/>
        </w:numPr>
        <w:pBdr>
          <w:top w:val="none" w:sz="0" w:space="0" w:color="333333"/>
          <w:left w:val="none" w:sz="0" w:space="0" w:color="333333"/>
          <w:bottom w:val="none" w:sz="0" w:space="0" w:color="333333"/>
          <w:right w:val="none" w:sz="0" w:space="0" w:color="333333"/>
        </w:pBdr>
        <w:spacing w:before="50" w:after="50" w:line="244" w:lineRule="atLeast"/>
        <w:ind w:left="430"/>
        <w:textAlignment w:val="baseline"/>
        <w:rPr>
          <w:rFonts w:ascii="Times New Roman" w:eastAsia="Helvetica Neue" w:hAnsi="Times New Roman" w:cs="Times New Roman"/>
          <w:sz w:val="24"/>
        </w:rPr>
      </w:pPr>
      <w:r>
        <w:rPr>
          <w:rFonts w:ascii="Times New Roman" w:eastAsia="Helvetica Neue" w:hAnsi="Times New Roman" w:cs="Times New Roman"/>
          <w:color w:val="333333"/>
          <w:sz w:val="24"/>
          <w:bdr w:val="none" w:sz="0" w:space="0" w:color="333333"/>
        </w:rPr>
        <w:t>Connected to common legal traditions is better than disconnected</w:t>
      </w:r>
    </w:p>
    <w:p w14:paraId="182A1BF6" w14:textId="77777777" w:rsidR="00AF58B3" w:rsidRDefault="005517AA">
      <w:pPr>
        <w:widowControl/>
        <w:numPr>
          <w:ilvl w:val="0"/>
          <w:numId w:val="1"/>
        </w:numPr>
        <w:pBdr>
          <w:top w:val="none" w:sz="0" w:space="0" w:color="333333"/>
          <w:left w:val="none" w:sz="0" w:space="0" w:color="333333"/>
          <w:bottom w:val="none" w:sz="0" w:space="0" w:color="333333"/>
          <w:right w:val="none" w:sz="0" w:space="0" w:color="333333"/>
        </w:pBdr>
        <w:spacing w:before="50" w:after="50" w:line="244" w:lineRule="atLeast"/>
        <w:ind w:left="430"/>
        <w:textAlignment w:val="baseline"/>
        <w:rPr>
          <w:rFonts w:ascii="Times New Roman" w:eastAsia="Helvetica Neue" w:hAnsi="Times New Roman" w:cs="Times New Roman"/>
          <w:sz w:val="24"/>
        </w:rPr>
      </w:pPr>
      <w:r>
        <w:rPr>
          <w:rFonts w:ascii="Times New Roman" w:eastAsia="Helvetica Neue" w:hAnsi="Times New Roman" w:cs="Times New Roman"/>
          <w:color w:val="333333"/>
          <w:sz w:val="24"/>
          <w:bdr w:val="none" w:sz="0" w:space="0" w:color="333333"/>
        </w:rPr>
        <w:t>Crypto-friendly is better than hostile or neutral</w:t>
      </w:r>
    </w:p>
    <w:p w14:paraId="182A1BF7" w14:textId="77777777" w:rsidR="00AF58B3" w:rsidRDefault="005517AA">
      <w:pPr>
        <w:pStyle w:val="a4"/>
        <w:widowControl/>
        <w:pBdr>
          <w:top w:val="none" w:sz="0" w:space="0" w:color="333333"/>
          <w:left w:val="none" w:sz="0" w:space="0" w:color="333333"/>
          <w:bottom w:val="none" w:sz="0" w:space="0" w:color="333333"/>
          <w:right w:val="none" w:sz="0" w:space="0" w:color="333333"/>
        </w:pBdr>
        <w:spacing w:before="150" w:beforeAutospacing="0" w:after="272" w:afterAutospacing="0" w:line="244" w:lineRule="atLeast"/>
        <w:jc w:val="both"/>
        <w:textAlignment w:val="baseline"/>
        <w:rPr>
          <w:rFonts w:ascii="Times New Roman" w:eastAsia="Helvetica Neue" w:hAnsi="Times New Roman"/>
        </w:rPr>
      </w:pPr>
      <w:r>
        <w:rPr>
          <w:rFonts w:ascii="Times New Roman" w:eastAsia="Helvetica Neue" w:hAnsi="Times New Roman"/>
          <w:color w:val="333333"/>
        </w:rPr>
        <w:lastRenderedPageBreak/>
        <w:t xml:space="preserve">Experience with (inter alia) </w:t>
      </w:r>
      <w:proofErr w:type="spellStart"/>
      <w:r>
        <w:rPr>
          <w:rFonts w:ascii="Times New Roman" w:eastAsia="Helvetica Neue" w:hAnsi="Times New Roman"/>
          <w:color w:val="333333"/>
        </w:rPr>
        <w:t>CACert</w:t>
      </w:r>
      <w:proofErr w:type="spellEnd"/>
      <w:r>
        <w:rPr>
          <w:rFonts w:ascii="Times New Roman" w:eastAsia="Helvetica Neue" w:hAnsi="Times New Roman"/>
          <w:color w:val="333333"/>
        </w:rPr>
        <w:t xml:space="preserve"> indicates that picking a choice-of-law that's familiar to a large part of the international membership wi</w:t>
      </w:r>
      <w:r>
        <w:rPr>
          <w:rFonts w:ascii="Times New Roman" w:eastAsia="Helvetica Neue" w:hAnsi="Times New Roman"/>
          <w:color w:val="333333"/>
        </w:rPr>
        <w:t xml:space="preserve">ll cause those familiar with it to feel advantaged, and all others to feel disadvantaged. Since every choice must disadvantage some, equity suggests that having everyone more-or-less equally disadvantaged is preferable. This was demonstrated when </w:t>
      </w:r>
      <w:proofErr w:type="spellStart"/>
      <w:r>
        <w:rPr>
          <w:rFonts w:ascii="Times New Roman" w:eastAsia="Helvetica Neue" w:hAnsi="Times New Roman"/>
          <w:color w:val="333333"/>
        </w:rPr>
        <w:t>CACert</w:t>
      </w:r>
      <w:proofErr w:type="spellEnd"/>
      <w:r>
        <w:rPr>
          <w:rFonts w:ascii="Times New Roman" w:eastAsia="Helvetica Neue" w:hAnsi="Times New Roman"/>
          <w:color w:val="333333"/>
        </w:rPr>
        <w:t xml:space="preserve"> ch</w:t>
      </w:r>
      <w:r>
        <w:rPr>
          <w:rFonts w:ascii="Times New Roman" w:eastAsia="Helvetica Neue" w:hAnsi="Times New Roman"/>
          <w:color w:val="333333"/>
        </w:rPr>
        <w:t xml:space="preserve">ose the laws of New South Wales, which wrong-footed nearly everyone, and that choice of law was proven quite satisfactory in practice. Thus "small and obscure" is preferred, </w:t>
      </w:r>
      <w:proofErr w:type="gramStart"/>
      <w:r>
        <w:rPr>
          <w:rFonts w:ascii="Times New Roman" w:eastAsia="Helvetica Neue" w:hAnsi="Times New Roman"/>
          <w:color w:val="333333"/>
        </w:rPr>
        <w:t>in order to</w:t>
      </w:r>
      <w:proofErr w:type="gramEnd"/>
      <w:r>
        <w:rPr>
          <w:rFonts w:ascii="Times New Roman" w:eastAsia="Helvetica Neue" w:hAnsi="Times New Roman"/>
          <w:color w:val="333333"/>
        </w:rPr>
        <w:t xml:space="preserve"> cause most people to deal with 'foreign' law.</w:t>
      </w:r>
    </w:p>
    <w:p w14:paraId="182A1BF8" w14:textId="77777777" w:rsidR="00AF58B3" w:rsidRDefault="005517AA">
      <w:pPr>
        <w:pStyle w:val="a4"/>
        <w:widowControl/>
        <w:pBdr>
          <w:top w:val="none" w:sz="0" w:space="0" w:color="333333"/>
          <w:left w:val="none" w:sz="0" w:space="0" w:color="333333"/>
          <w:bottom w:val="none" w:sz="0" w:space="0" w:color="333333"/>
          <w:right w:val="none" w:sz="0" w:space="0" w:color="333333"/>
        </w:pBdr>
        <w:spacing w:before="150" w:beforeAutospacing="0" w:after="272" w:afterAutospacing="0" w:line="244" w:lineRule="atLeast"/>
        <w:jc w:val="both"/>
        <w:textAlignment w:val="baseline"/>
        <w:rPr>
          <w:rFonts w:ascii="Times New Roman" w:eastAsia="Helvetica Neue" w:hAnsi="Times New Roman"/>
        </w:rPr>
      </w:pPr>
      <w:r>
        <w:rPr>
          <w:rFonts w:ascii="Times New Roman" w:eastAsia="Helvetica Neue" w:hAnsi="Times New Roman"/>
          <w:color w:val="333333"/>
        </w:rPr>
        <w:t>A bonus effect of making</w:t>
      </w:r>
      <w:r>
        <w:rPr>
          <w:rFonts w:ascii="Times New Roman" w:eastAsia="Helvetica Neue" w:hAnsi="Times New Roman"/>
          <w:color w:val="333333"/>
        </w:rPr>
        <w:t xml:space="preserve"> nearly everyone deal with 'foreign' law is to shake the contract writer out of complacency. When working with familiar law, it can be easy to </w:t>
      </w:r>
      <w:r>
        <w:rPr>
          <w:rStyle w:val="a5"/>
          <w:rFonts w:ascii="Times New Roman" w:eastAsia="Helvetica Neue" w:hAnsi="Times New Roman"/>
          <w:color w:val="333333"/>
          <w:bdr w:val="none" w:sz="0" w:space="0" w:color="333333"/>
        </w:rPr>
        <w:t>unconsciously assume</w:t>
      </w:r>
      <w:r>
        <w:rPr>
          <w:rFonts w:ascii="Times New Roman" w:eastAsia="Helvetica Neue" w:hAnsi="Times New Roman"/>
          <w:color w:val="333333"/>
        </w:rPr>
        <w:t xml:space="preserve"> all the parties agree on one or more unstated points. Working with unfamiliar law, the contr</w:t>
      </w:r>
      <w:r>
        <w:rPr>
          <w:rFonts w:ascii="Times New Roman" w:eastAsia="Helvetica Neue" w:hAnsi="Times New Roman"/>
          <w:color w:val="333333"/>
        </w:rPr>
        <w:t>act writer will be more likely to make explicit more of the points that need to be agreed.</w:t>
      </w:r>
    </w:p>
    <w:p w14:paraId="182A1BF9" w14:textId="77777777" w:rsidR="00AF58B3" w:rsidRDefault="005517AA">
      <w:pPr>
        <w:pStyle w:val="a4"/>
        <w:widowControl/>
        <w:pBdr>
          <w:top w:val="none" w:sz="0" w:space="0" w:color="333333"/>
          <w:left w:val="none" w:sz="0" w:space="0" w:color="333333"/>
          <w:bottom w:val="none" w:sz="0" w:space="0" w:color="333333"/>
          <w:right w:val="none" w:sz="0" w:space="0" w:color="333333"/>
        </w:pBdr>
        <w:spacing w:before="150" w:beforeAutospacing="0" w:after="272" w:afterAutospacing="0" w:line="244" w:lineRule="atLeast"/>
        <w:jc w:val="both"/>
        <w:textAlignment w:val="baseline"/>
        <w:rPr>
          <w:rFonts w:ascii="Times New Roman" w:eastAsia="Helvetica Neue" w:hAnsi="Times New Roman"/>
        </w:rPr>
      </w:pPr>
      <w:r>
        <w:rPr>
          <w:rFonts w:ascii="Times New Roman" w:eastAsia="Helvetica Neue" w:hAnsi="Times New Roman"/>
          <w:color w:val="333333"/>
        </w:rPr>
        <w:t>There are a vast number of small and obscure places with legal systems. What else should we want?</w:t>
      </w:r>
    </w:p>
    <w:p w14:paraId="182A1BFA" w14:textId="77777777" w:rsidR="00AF58B3" w:rsidRDefault="005517AA">
      <w:pPr>
        <w:pStyle w:val="a4"/>
        <w:widowControl/>
        <w:pBdr>
          <w:top w:val="none" w:sz="0" w:space="0" w:color="333333"/>
          <w:left w:val="none" w:sz="0" w:space="0" w:color="333333"/>
          <w:bottom w:val="none" w:sz="0" w:space="0" w:color="333333"/>
          <w:right w:val="none" w:sz="0" w:space="0" w:color="333333"/>
        </w:pBdr>
        <w:spacing w:before="150" w:beforeAutospacing="0" w:after="272" w:afterAutospacing="0" w:line="244" w:lineRule="atLeast"/>
        <w:jc w:val="both"/>
        <w:textAlignment w:val="baseline"/>
        <w:rPr>
          <w:rFonts w:ascii="Times New Roman" w:eastAsia="Helvetica Neue" w:hAnsi="Times New Roman"/>
        </w:rPr>
      </w:pPr>
      <w:r>
        <w:rPr>
          <w:rFonts w:ascii="Times New Roman" w:eastAsia="Helvetica Neue" w:hAnsi="Times New Roman"/>
          <w:color w:val="333333"/>
        </w:rPr>
        <w:t xml:space="preserve">Given the presumed commercial bent of the Governed Blockchain, it </w:t>
      </w:r>
      <w:r>
        <w:rPr>
          <w:rFonts w:ascii="Times New Roman" w:eastAsia="Helvetica Neue" w:hAnsi="Times New Roman"/>
          <w:color w:val="333333"/>
        </w:rPr>
        <w:t>is probably good to have a small-and-obscure place that is connected via geography and legal tradition to large and well established commercial sectors such as NAFTA, AGOA, ASEAN, or the European Union. This narrows the list slightly.</w:t>
      </w:r>
    </w:p>
    <w:p w14:paraId="182A1BFB" w14:textId="77777777" w:rsidR="00AF58B3" w:rsidRDefault="005517AA">
      <w:pPr>
        <w:pStyle w:val="a4"/>
        <w:widowControl/>
        <w:pBdr>
          <w:top w:val="none" w:sz="0" w:space="0" w:color="333333"/>
          <w:left w:val="none" w:sz="0" w:space="0" w:color="333333"/>
          <w:bottom w:val="none" w:sz="0" w:space="0" w:color="333333"/>
          <w:right w:val="none" w:sz="0" w:space="0" w:color="333333"/>
        </w:pBdr>
        <w:spacing w:before="150" w:beforeAutospacing="0" w:after="272" w:afterAutospacing="0" w:line="244" w:lineRule="atLeast"/>
        <w:jc w:val="both"/>
        <w:textAlignment w:val="baseline"/>
        <w:rPr>
          <w:rFonts w:ascii="Times New Roman" w:eastAsia="Helvetica Neue" w:hAnsi="Times New Roman"/>
        </w:rPr>
      </w:pPr>
      <w:r>
        <w:rPr>
          <w:rFonts w:ascii="Times New Roman" w:eastAsia="Helvetica Neue" w:hAnsi="Times New Roman"/>
          <w:color w:val="333333"/>
        </w:rPr>
        <w:t>And finally, a histor</w:t>
      </w:r>
      <w:r>
        <w:rPr>
          <w:rFonts w:ascii="Times New Roman" w:eastAsia="Helvetica Neue" w:hAnsi="Times New Roman"/>
          <w:color w:val="333333"/>
        </w:rPr>
        <w:t>y of being crypto-friendly merely makes sense. This quickly brought to the fore such places as the Cayman Islands, Gibraltar, Malta, and so on, as opposed to (for example) merely small Andorra.</w:t>
      </w:r>
    </w:p>
    <w:p w14:paraId="182A1BFC" w14:textId="77777777" w:rsidR="00AF58B3" w:rsidRDefault="005517AA">
      <w:pPr>
        <w:pStyle w:val="1"/>
        <w:widowControl/>
        <w:pBdr>
          <w:top w:val="none" w:sz="0" w:space="0" w:color="000000"/>
          <w:left w:val="none" w:sz="0" w:space="0" w:color="000000"/>
          <w:bottom w:val="none" w:sz="0" w:space="0" w:color="000000"/>
          <w:right w:val="none" w:sz="0" w:space="0" w:color="000000"/>
        </w:pBdr>
        <w:spacing w:before="150" w:beforeAutospacing="0" w:after="272" w:afterAutospacing="0" w:line="244" w:lineRule="atLeast"/>
        <w:jc w:val="both"/>
        <w:textAlignment w:val="baseline"/>
        <w:rPr>
          <w:rFonts w:ascii="Times New Roman" w:eastAsia="&amp;quot" w:hAnsi="Times New Roman" w:hint="default"/>
          <w:color w:val="000000"/>
          <w:sz w:val="24"/>
          <w:szCs w:val="24"/>
        </w:rPr>
      </w:pPr>
      <w:r>
        <w:rPr>
          <w:rFonts w:ascii="Times New Roman" w:eastAsia="&amp;quot" w:hAnsi="Times New Roman" w:hint="default"/>
          <w:color w:val="000000"/>
          <w:sz w:val="24"/>
          <w:szCs w:val="24"/>
          <w:bdr w:val="none" w:sz="0" w:space="0" w:color="000000"/>
        </w:rPr>
        <w:t>References</w:t>
      </w:r>
    </w:p>
    <w:p w14:paraId="182A1BFD" w14:textId="77777777" w:rsidR="00AF58B3" w:rsidRDefault="005517AA">
      <w:pPr>
        <w:widowControl/>
        <w:numPr>
          <w:ilvl w:val="0"/>
          <w:numId w:val="2"/>
        </w:numPr>
        <w:pBdr>
          <w:top w:val="none" w:sz="0" w:space="0" w:color="333333"/>
          <w:left w:val="none" w:sz="0" w:space="0" w:color="333333"/>
          <w:bottom w:val="none" w:sz="0" w:space="0" w:color="333333"/>
          <w:right w:val="none" w:sz="0" w:space="0" w:color="333333"/>
        </w:pBdr>
        <w:spacing w:before="50" w:after="50" w:line="244" w:lineRule="atLeast"/>
        <w:ind w:left="430"/>
        <w:textAlignment w:val="baseline"/>
        <w:rPr>
          <w:rFonts w:ascii="Times New Roman" w:eastAsia="Helvetica Neue" w:hAnsi="Times New Roman" w:cs="Times New Roman"/>
          <w:sz w:val="24"/>
        </w:rPr>
      </w:pPr>
      <w:hyperlink r:id="rId8" w:tooltip="Choice of Law" w:history="1">
        <w:r>
          <w:rPr>
            <w:rStyle w:val="a6"/>
            <w:rFonts w:ascii="Times New Roman" w:eastAsia="Helvetica Neue" w:hAnsi="Times New Roman" w:cs="Times New Roman"/>
            <w:color w:val="0088CC"/>
            <w:sz w:val="24"/>
            <w:u w:val="none"/>
            <w:bdr w:val="none" w:sz="0" w:space="0" w:color="0088CC"/>
          </w:rPr>
          <w:t>Choice of Law</w:t>
        </w:r>
      </w:hyperlink>
    </w:p>
    <w:p w14:paraId="182A1BFE" w14:textId="77777777" w:rsidR="00AF58B3" w:rsidRDefault="005517AA">
      <w:pPr>
        <w:widowControl/>
        <w:numPr>
          <w:ilvl w:val="0"/>
          <w:numId w:val="2"/>
        </w:numPr>
        <w:pBdr>
          <w:top w:val="none" w:sz="0" w:space="0" w:color="333333"/>
          <w:left w:val="none" w:sz="0" w:space="0" w:color="333333"/>
          <w:bottom w:val="none" w:sz="0" w:space="0" w:color="333333"/>
          <w:right w:val="none" w:sz="0" w:space="0" w:color="333333"/>
        </w:pBdr>
        <w:spacing w:before="50" w:after="50" w:line="244" w:lineRule="atLeast"/>
        <w:ind w:left="430"/>
        <w:textAlignment w:val="baseline"/>
        <w:rPr>
          <w:rFonts w:ascii="Times New Roman" w:eastAsia="Helvetica Neue" w:hAnsi="Times New Roman" w:cs="Times New Roman"/>
          <w:sz w:val="24"/>
        </w:rPr>
      </w:pPr>
      <w:hyperlink r:id="rId9" w:tooltip="Maxims of Equity" w:history="1">
        <w:r>
          <w:rPr>
            <w:rStyle w:val="a6"/>
            <w:rFonts w:ascii="Times New Roman" w:eastAsia="Helvetica Neue" w:hAnsi="Times New Roman" w:cs="Times New Roman"/>
            <w:color w:val="0088CC"/>
            <w:sz w:val="24"/>
            <w:u w:val="none"/>
            <w:bdr w:val="none" w:sz="0" w:space="0" w:color="0088CC"/>
          </w:rPr>
          <w:t>Maxims of Equity</w:t>
        </w:r>
      </w:hyperlink>
    </w:p>
    <w:p w14:paraId="182A1BFF" w14:textId="77777777" w:rsidR="00AF58B3" w:rsidRDefault="005517AA">
      <w:pPr>
        <w:widowControl/>
        <w:numPr>
          <w:ilvl w:val="0"/>
          <w:numId w:val="2"/>
        </w:numPr>
        <w:pBdr>
          <w:top w:val="none" w:sz="0" w:space="0" w:color="333333"/>
          <w:left w:val="none" w:sz="0" w:space="0" w:color="333333"/>
          <w:bottom w:val="none" w:sz="0" w:space="0" w:color="333333"/>
          <w:right w:val="none" w:sz="0" w:space="0" w:color="333333"/>
        </w:pBdr>
        <w:spacing w:before="50" w:after="50" w:line="244" w:lineRule="atLeast"/>
        <w:ind w:left="430"/>
        <w:textAlignment w:val="baseline"/>
        <w:rPr>
          <w:rFonts w:ascii="Times New Roman" w:eastAsia="Helvetica Neue" w:hAnsi="Times New Roman" w:cs="Times New Roman"/>
          <w:sz w:val="24"/>
        </w:rPr>
      </w:pPr>
      <w:hyperlink r:id="rId10" w:tooltip="Laws of Malta" w:history="1">
        <w:r>
          <w:rPr>
            <w:rStyle w:val="a6"/>
            <w:rFonts w:ascii="Times New Roman" w:eastAsia="Helvetica Neue" w:hAnsi="Times New Roman" w:cs="Times New Roman"/>
            <w:color w:val="0088CC"/>
            <w:sz w:val="24"/>
            <w:u w:val="none"/>
            <w:bdr w:val="none" w:sz="0" w:space="0" w:color="0088CC"/>
          </w:rPr>
          <w:t>Laws of Malta</w:t>
        </w:r>
      </w:hyperlink>
      <w:r>
        <w:rPr>
          <w:rFonts w:ascii="Times New Roman" w:eastAsia="Helvetica Neue" w:hAnsi="Times New Roman" w:cs="Times New Roman"/>
          <w:color w:val="333333"/>
          <w:sz w:val="24"/>
          <w:bdr w:val="none" w:sz="0" w:space="0" w:color="333333"/>
        </w:rPr>
        <w:t xml:space="preserve"> in English</w:t>
      </w:r>
    </w:p>
    <w:p w14:paraId="182A1C00" w14:textId="77777777" w:rsidR="00AF58B3" w:rsidRDefault="00AF58B3"/>
    <w:sectPr w:rsidR="00AF58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2FBD5D" w14:textId="77777777" w:rsidR="00000000" w:rsidRDefault="005517AA">
      <w:pPr>
        <w:spacing w:after="0" w:line="240" w:lineRule="auto"/>
      </w:pPr>
      <w:r>
        <w:separator/>
      </w:r>
    </w:p>
  </w:endnote>
  <w:endnote w:type="continuationSeparator" w:id="0">
    <w:p w14:paraId="7EEFE5F9" w14:textId="77777777" w:rsidR="00000000" w:rsidRDefault="00551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mp;quot">
    <w:altName w:val="Segoe Print"/>
    <w:charset w:val="00"/>
    <w:family w:val="auto"/>
    <w:pitch w:val="default"/>
  </w:font>
  <w:font w:name="Helvetica Neue">
    <w:altName w:val="Segoe Print"/>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50567E" w14:textId="77777777" w:rsidR="00000000" w:rsidRDefault="005517AA">
      <w:pPr>
        <w:spacing w:after="0" w:line="240" w:lineRule="auto"/>
      </w:pPr>
      <w:r>
        <w:separator/>
      </w:r>
    </w:p>
  </w:footnote>
  <w:footnote w:type="continuationSeparator" w:id="0">
    <w:p w14:paraId="2C6903A6" w14:textId="77777777" w:rsidR="00000000" w:rsidRDefault="005517AA">
      <w:pPr>
        <w:spacing w:after="0" w:line="240" w:lineRule="auto"/>
      </w:pPr>
      <w:r>
        <w:continuationSeparator/>
      </w:r>
    </w:p>
  </w:footnote>
  <w:footnote w:id="1">
    <w:p w14:paraId="182A1C01" w14:textId="77777777" w:rsidR="00AF58B3" w:rsidRDefault="005517AA">
      <w:pPr>
        <w:pStyle w:val="a3"/>
        <w:rPr>
          <w:rFonts w:ascii="Times New Roman" w:hAnsi="Times New Roman" w:cs="Times New Roman"/>
        </w:rPr>
      </w:pPr>
      <w:r>
        <w:rPr>
          <w:rStyle w:val="a7"/>
          <w:rFonts w:ascii="Times New Roman" w:hAnsi="Times New Roman" w:cs="Times New Roman"/>
        </w:rPr>
        <w:footnoteRef/>
      </w:r>
      <w:r>
        <w:rPr>
          <w:rFonts w:ascii="Times New Roman" w:hAnsi="Times New Roman" w:cs="Times New Roman"/>
        </w:rPr>
        <w:t xml:space="preserve"> https://forums.eosgo.io/discussion/877/article-xvii-v0-4-0-draft-eos-io-constitution-choice-of-law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02CC9C"/>
    <w:multiLevelType w:val="multilevel"/>
    <w:tmpl w:val="5B02CC9C"/>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5B02CCA7"/>
    <w:multiLevelType w:val="multilevel"/>
    <w:tmpl w:val="5B02CCA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640250B"/>
    <w:rsid w:val="005517AA"/>
    <w:rsid w:val="00AF58B3"/>
    <w:rsid w:val="064025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2A1BE5"/>
  <w15:docId w15:val="{87956979-AD35-4914-993A-DCBE4A118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0" w:afterAutospacing="1"/>
      <w:jc w:val="left"/>
      <w:outlineLvl w:val="0"/>
    </w:pPr>
    <w:rPr>
      <w:rFonts w:ascii="宋体" w:eastAsia="宋体" w:hAnsi="宋体" w:cs="Times New Roman" w:hint="eastAsia"/>
      <w:b/>
      <w:kern w:val="44"/>
      <w:sz w:val="48"/>
      <w:szCs w:val="48"/>
    </w:rPr>
  </w:style>
  <w:style w:type="paragraph" w:styleId="2">
    <w:name w:val="heading 2"/>
    <w:basedOn w:val="a"/>
    <w:next w:val="a"/>
    <w:unhideWhenUsed/>
    <w:qFormat/>
    <w:pPr>
      <w:spacing w:beforeAutospacing="1" w:after="0"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pPr>
      <w:snapToGrid w:val="0"/>
      <w:jc w:val="left"/>
    </w:pPr>
    <w:rPr>
      <w:sz w:val="18"/>
    </w:rPr>
  </w:style>
  <w:style w:type="paragraph" w:styleId="a4">
    <w:name w:val="Normal (Web)"/>
    <w:basedOn w:val="a"/>
    <w:pPr>
      <w:spacing w:beforeAutospacing="1" w:after="0" w:afterAutospacing="1"/>
      <w:jc w:val="left"/>
    </w:pPr>
    <w:rPr>
      <w:rFonts w:cs="Times New Roman"/>
      <w:kern w:val="0"/>
      <w:sz w:val="24"/>
    </w:rPr>
  </w:style>
  <w:style w:type="character" w:styleId="a5">
    <w:name w:val="Emphasis"/>
    <w:basedOn w:val="a0"/>
    <w:qFormat/>
    <w:rPr>
      <w:i/>
    </w:rPr>
  </w:style>
  <w:style w:type="character" w:styleId="a6">
    <w:name w:val="Hyperlink"/>
    <w:basedOn w:val="a0"/>
    <w:rPr>
      <w:color w:val="0000FF"/>
      <w:u w:val="single"/>
    </w:rPr>
  </w:style>
  <w:style w:type="character" w:styleId="a7">
    <w:name w:val="footnote reference"/>
    <w:basedOn w:val="a0"/>
    <w:rPr>
      <w:vertAlign w:val="superscript"/>
    </w:rPr>
  </w:style>
  <w:style w:type="paragraph" w:styleId="a8">
    <w:name w:val="header"/>
    <w:basedOn w:val="a"/>
    <w:link w:val="a9"/>
    <w:rsid w:val="005517AA"/>
    <w:pPr>
      <w:tabs>
        <w:tab w:val="center" w:pos="4320"/>
        <w:tab w:val="right" w:pos="8640"/>
      </w:tabs>
      <w:spacing w:after="0" w:line="240" w:lineRule="auto"/>
    </w:pPr>
  </w:style>
  <w:style w:type="character" w:customStyle="1" w:styleId="a9">
    <w:name w:val="页眉 字符"/>
    <w:basedOn w:val="a0"/>
    <w:link w:val="a8"/>
    <w:rsid w:val="005517AA"/>
    <w:rPr>
      <w:rFonts w:asciiTheme="minorHAnsi" w:eastAsiaTheme="minorEastAsia" w:hAnsiTheme="minorHAnsi" w:cstheme="minorBidi"/>
      <w:kern w:val="2"/>
      <w:sz w:val="21"/>
      <w:szCs w:val="24"/>
    </w:rPr>
  </w:style>
  <w:style w:type="paragraph" w:styleId="aa">
    <w:name w:val="footer"/>
    <w:basedOn w:val="a"/>
    <w:link w:val="ab"/>
    <w:rsid w:val="005517AA"/>
    <w:pPr>
      <w:tabs>
        <w:tab w:val="center" w:pos="4320"/>
        <w:tab w:val="right" w:pos="8640"/>
      </w:tabs>
      <w:spacing w:after="0" w:line="240" w:lineRule="auto"/>
    </w:pPr>
  </w:style>
  <w:style w:type="character" w:customStyle="1" w:styleId="ab">
    <w:name w:val="页脚 字符"/>
    <w:basedOn w:val="a0"/>
    <w:link w:val="aa"/>
    <w:rsid w:val="005517AA"/>
    <w:rPr>
      <w:rFonts w:asciiTheme="minorHAnsi" w:eastAsiaTheme="minorEastAsia" w:hAnsiTheme="minorHAnsi" w:cstheme="minorBid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n.wikipedia.org/wiki/Choice_of_la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justiceservices.gov.mt/" TargetMode="External"/><Relationship Id="rId4" Type="http://schemas.openxmlformats.org/officeDocument/2006/relationships/settings" Target="settings.xml"/><Relationship Id="rId9" Type="http://schemas.openxmlformats.org/officeDocument/2006/relationships/hyperlink" Target="https://en.wikipedia.org/wiki/Maxims_of_equit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530</Words>
  <Characters>3027</Characters>
  <Application>Microsoft Office Word</Application>
  <DocSecurity>0</DocSecurity>
  <Lines>25</Lines>
  <Paragraphs>7</Paragraphs>
  <ScaleCrop>false</ScaleCrop>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c:creator>
  <cp:lastModifiedBy>Felicia Bao</cp:lastModifiedBy>
  <cp:revision>2</cp:revision>
  <dcterms:created xsi:type="dcterms:W3CDTF">2018-05-21T12:38:00Z</dcterms:created>
  <dcterms:modified xsi:type="dcterms:W3CDTF">2018-05-24T03:52:00Z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