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CE9F8" w14:textId="77777777" w:rsidR="00C93B62" w:rsidRDefault="00AF2BF1">
      <w:pPr>
        <w:pStyle w:val="Titel"/>
      </w:pPr>
      <w:r>
        <w:rPr>
          <w:i/>
        </w:rPr>
        <w:t>From</w:t>
      </w:r>
      <w:r>
        <w:t>: “The Prince-Bishops of Würzburg and the Jews in the Late Middle Ages after 1349”</w:t>
      </w:r>
    </w:p>
    <w:p w14:paraId="6F488FAE" w14:textId="77777777" w:rsidR="00C93B62" w:rsidRDefault="00AF2BF1">
      <w:pPr>
        <w:pStyle w:val="Untertitel"/>
      </w:pPr>
      <w:r>
        <w:t>An Essay</w:t>
      </w:r>
    </w:p>
    <w:p w14:paraId="4DBCF614" w14:textId="77777777" w:rsidR="00C93B62" w:rsidRDefault="00AF2BF1">
      <w:pPr>
        <w:pStyle w:val="Author"/>
      </w:pPr>
      <w:r>
        <w:t>Elias Oppenrieder</w:t>
      </w:r>
    </w:p>
    <w:p w14:paraId="65393E72" w14:textId="77777777" w:rsidR="00C93B62" w:rsidRDefault="00C93B62">
      <w:pPr>
        <w:pStyle w:val="Datum"/>
      </w:pPr>
    </w:p>
    <w:p w14:paraId="601D8BCE" w14:textId="77777777" w:rsidR="00C93B62" w:rsidRDefault="00AF2BF1">
      <w:pPr>
        <w:pStyle w:val="berschrift1"/>
      </w:pPr>
      <w:bookmarkStart w:id="0" w:name="X9114e1d65c94f91cf148ccfb5d997c07c3374c0"/>
      <w:r>
        <w:t>The Prince-Bishops of Würzburg and the Jews in the Late Middle Ages after 1349</w:t>
      </w:r>
      <w:bookmarkEnd w:id="0"/>
    </w:p>
    <w:p w14:paraId="6889495B" w14:textId="77777777" w:rsidR="00C93B62" w:rsidRDefault="00AF2BF1">
      <w:pPr>
        <w:pStyle w:val="berschrift2"/>
      </w:pPr>
      <w:bookmarkStart w:id="1" w:name="introduction"/>
      <w:r>
        <w:t>1. Introduction</w:t>
      </w:r>
      <w:bookmarkEnd w:id="1"/>
    </w:p>
    <w:p w14:paraId="75D01AFF" w14:textId="77777777" w:rsidR="00C93B62" w:rsidRDefault="00AF2BF1">
      <w:pPr>
        <w:pStyle w:val="FirstParagraph"/>
      </w:pPr>
      <w:r>
        <w:t xml:space="preserve">Standing on the Market Square of Würzburg in front of the impressive </w:t>
      </w:r>
      <w:r>
        <w:rPr>
          <w:i/>
        </w:rPr>
        <w:t>Marienkapelle</w:t>
      </w:r>
      <w:r>
        <w:t xml:space="preserve"> today, one would hardly imagine that 700 years ago a synagogue was located at </w:t>
      </w:r>
      <w:r>
        <w:t>that place. And yet, until the pogrom of April 1349 the religious center of the flourishing Jewish community of Würzburg had its place there, serving for religious services as well as demonstrating the wealth of the local Jewry.</w:t>
      </w:r>
      <w:r>
        <w:rPr>
          <w:rStyle w:val="Funotenzeichen"/>
        </w:rPr>
        <w:footnoteReference w:id="1"/>
      </w:r>
      <w:r>
        <w:t xml:space="preserve"> After 1349, however, the </w:t>
      </w:r>
      <w:r>
        <w:t>synagogue was apparently destroyed, and instead of building a new one a Christian place of worship was erected</w:t>
      </w:r>
      <w:r>
        <w:rPr>
          <w:rStyle w:val="Funotenzeichen"/>
        </w:rPr>
        <w:footnoteReference w:id="2"/>
      </w:r>
      <w:r>
        <w:t xml:space="preserve"> which leads to the question: As the former religious center of the Jewish community in Würzburg had ceased to exist, had the community itself a</w:t>
      </w:r>
      <w:r>
        <w:t>s well? In fact, only in 1376 a Jew is mentioned anew in Würzburg,</w:t>
      </w:r>
      <w:r>
        <w:rPr>
          <w:rStyle w:val="Funotenzeichen"/>
        </w:rPr>
        <w:footnoteReference w:id="3"/>
      </w:r>
      <w:r>
        <w:t xml:space="preserve"> so the Jewish community must have been hit existentially by the pogrom of 1349. While the pogrom of 1349 is documented by sources and examined in various papers, much less is known about </w:t>
      </w:r>
      <w:r>
        <w:t>the history of Jews in Würzburg in the second half of the 14th and in the 15th century.</w:t>
      </w:r>
      <w:r>
        <w:rPr>
          <w:rStyle w:val="Funotenzeichen"/>
        </w:rPr>
        <w:footnoteReference w:id="4"/>
      </w:r>
      <w:r>
        <w:t xml:space="preserve"> This paper thus attempts to examine the situation of the Jewish community in Würzburg at the end of the Middle Ages. Contemporary sources about Jewish life in Würzbur</w:t>
      </w:r>
      <w:r>
        <w:t xml:space="preserve">g at that time are scarce, however, and the ones existing are </w:t>
      </w:r>
      <w:r>
        <w:lastRenderedPageBreak/>
        <w:t>mainly charters by the prince-bishops. Thus, the paper’s predominant focus is on the relations between the Jews in Würzburg and the prince-bishop. He was the political and likewise the religious</w:t>
      </w:r>
      <w:r>
        <w:t xml:space="preserve"> lord of the town, meaning that the welfare or hardship of Würzburg’s Jews depended a great deal on him. Therefore, the paper will be structured along the tenures of the subsequent bishops of the analyzed period, taking into account their general rule and </w:t>
      </w:r>
      <w:r>
        <w:t xml:space="preserve">relating it to their dealings with the Jews. To put the situation in Würzburg into a broader context, regularly developments in the Reich as a whole will be mentioned. Starting with </w:t>
      </w:r>
      <w:r>
        <w:rPr>
          <w:b/>
        </w:rPr>
        <w:t>Albrecht II. von Hohenlohe’s</w:t>
      </w:r>
      <w:r>
        <w:t xml:space="preserve"> reign as prince-bishop, when the annihilating</w:t>
      </w:r>
      <w:r>
        <w:t xml:space="preserve"> pogrom of 1349 took place, the paper will take a look at each of his successors, finishing with </w:t>
      </w:r>
      <w:r>
        <w:rPr>
          <w:b/>
        </w:rPr>
        <w:t>Rudolf II of Scherenberg</w:t>
      </w:r>
      <w:r>
        <w:t xml:space="preserve"> who died in 1495. The conclusion of the paper will be an attempt to summarize the Jewish-episcopal relationships under the reign of th</w:t>
      </w:r>
      <w:r>
        <w:t>e different prince-bishops. Before proceeding, however, one constraint has to be made: Almost all of the sources analyzed hereafter express a change in the relationships between the prince-bishops and the Jewry in Würzburg. Everyday relations are hardly do</w:t>
      </w:r>
      <w:r>
        <w:t xml:space="preserve">cumented in the surviving sources, so one should not be tempted to take their information for a comprehensive account of Jewish-episcopal relations in Würzburg in the late 14th and 15th century, let alone a comprehensive account of Jewish life in Würzburg </w:t>
      </w:r>
      <w:r>
        <w:t>at that time. Nevertheless, these sources can provide us with some valuable insights into the mentioned topics.</w:t>
      </w:r>
      <w:r>
        <w:rPr>
          <w:rStyle w:val="Funotenzeichen"/>
        </w:rPr>
        <w:footnoteReference w:id="5"/>
      </w:r>
    </w:p>
    <w:p w14:paraId="4BA89AE7" w14:textId="77777777" w:rsidR="00C93B62" w:rsidRDefault="00AF2BF1">
      <w:pPr>
        <w:pStyle w:val="berschrift2"/>
      </w:pPr>
      <w:bookmarkStart w:id="2" w:name="Xf9fb2fa1a12fb43b401e405cca440362f1859be"/>
      <w:r>
        <w:t>2. The Jewish Community of Würzburg after 1349 and the Prince-Bishops</w:t>
      </w:r>
      <w:bookmarkEnd w:id="2"/>
    </w:p>
    <w:p w14:paraId="1E4B69E9" w14:textId="77777777" w:rsidR="00C93B62" w:rsidRDefault="00AF2BF1">
      <w:pPr>
        <w:pStyle w:val="berschrift3"/>
      </w:pPr>
      <w:bookmarkStart w:id="3" w:name="Xd175f02a035506103881ec58350ce0eb6844951"/>
      <w:r>
        <w:t>2.1 The Prince-Bishops of the late 14th century: Sporadic Indications of</w:t>
      </w:r>
      <w:r>
        <w:t xml:space="preserve"> Jewish Life af-ter the Annihilation</w:t>
      </w:r>
      <w:bookmarkEnd w:id="3"/>
    </w:p>
    <w:p w14:paraId="4E2AC8E4" w14:textId="77777777" w:rsidR="00C93B62" w:rsidRDefault="00AF2BF1">
      <w:pPr>
        <w:pStyle w:val="FirstParagraph"/>
      </w:pPr>
      <w:r>
        <w:t xml:space="preserve">The pogrom of 1349 fell into a period of disorder and insecurity in the whole </w:t>
      </w:r>
      <w:r>
        <w:rPr>
          <w:i/>
        </w:rPr>
        <w:t>Reich</w:t>
      </w:r>
      <w:r>
        <w:t>, with the plague approaching and flagellants wandering about.</w:t>
      </w:r>
      <w:r>
        <w:rPr>
          <w:rStyle w:val="Funotenzeichen"/>
        </w:rPr>
        <w:footnoteReference w:id="6"/>
      </w:r>
      <w:r>
        <w:t xml:space="preserve"> In the bishopric of Würzburg, the situation was particularly complicate</w:t>
      </w:r>
      <w:r>
        <w:t xml:space="preserve">d insofar as, following the election of a new bishop in 1345, the candidate chosen by the cathedral chapter, </w:t>
      </w:r>
      <w:r>
        <w:rPr>
          <w:b/>
        </w:rPr>
        <w:t>Albrecht von Hohenlohe</w:t>
      </w:r>
      <w:r>
        <w:t xml:space="preserve">, was rejected by </w:t>
      </w:r>
      <w:r>
        <w:rPr>
          <w:b/>
        </w:rPr>
        <w:t>Pope Clemens VI</w:t>
      </w:r>
      <w:r>
        <w:t xml:space="preserve"> who favoured his chaplain, </w:t>
      </w:r>
      <w:r>
        <w:rPr>
          <w:b/>
        </w:rPr>
        <w:t>Albrecht von Hohenberg</w:t>
      </w:r>
      <w:r>
        <w:t>, instead.</w:t>
      </w:r>
      <w:r>
        <w:rPr>
          <w:rStyle w:val="Funotenzeichen"/>
        </w:rPr>
        <w:footnoteReference w:id="7"/>
      </w:r>
      <w:r>
        <w:t xml:space="preserve"> In his search for allies, </w:t>
      </w:r>
      <w:r>
        <w:rPr>
          <w:b/>
        </w:rPr>
        <w:t>Alb</w:t>
      </w:r>
      <w:r>
        <w:rPr>
          <w:b/>
        </w:rPr>
        <w:t>recht von Hohenlohe</w:t>
      </w:r>
      <w:r>
        <w:t xml:space="preserve"> turned to the newly elected king </w:t>
      </w:r>
      <w:r>
        <w:rPr>
          <w:b/>
        </w:rPr>
        <w:t>Charles IV</w:t>
      </w:r>
      <w:r>
        <w:t xml:space="preserve">. Beginning from 1346, he stood firmly by </w:t>
      </w:r>
      <w:r>
        <w:rPr>
          <w:b/>
        </w:rPr>
        <w:t>Charles’</w:t>
      </w:r>
      <w:r>
        <w:t xml:space="preserve"> side, and so it does not come as a surprise that </w:t>
      </w:r>
      <w:r>
        <w:rPr>
          <w:b/>
        </w:rPr>
        <w:t>Charles</w:t>
      </w:r>
      <w:r>
        <w:t xml:space="preserve"> was willing to appreciate the stance of </w:t>
      </w:r>
      <w:r>
        <w:rPr>
          <w:b/>
        </w:rPr>
        <w:t>Albrecht von Hohenlohe</w:t>
      </w:r>
      <w:r>
        <w:t>. To do so, he issued a</w:t>
      </w:r>
      <w:r>
        <w:t xml:space="preserve"> charter on 28th March 1349 assuring the bishop of Bamberg and </w:t>
      </w:r>
      <w:r>
        <w:rPr>
          <w:b/>
        </w:rPr>
        <w:t>Albrecht</w:t>
      </w:r>
      <w:r>
        <w:t xml:space="preserve"> that in case any harmful would happen to the Jews in their bishoprics, </w:t>
      </w:r>
      <w:r>
        <w:rPr>
          <w:b/>
        </w:rPr>
        <w:t>Charles</w:t>
      </w:r>
      <w:r>
        <w:t xml:space="preserve"> would not “</w:t>
      </w:r>
      <w:r>
        <w:rPr>
          <w:i/>
        </w:rPr>
        <w:t xml:space="preserve">take possession of the movable or immovable property of these without the special </w:t>
      </w:r>
      <w:r>
        <w:rPr>
          <w:i/>
        </w:rPr>
        <w:lastRenderedPageBreak/>
        <w:t>advice and w</w:t>
      </w:r>
      <w:r>
        <w:rPr>
          <w:i/>
        </w:rPr>
        <w:t>ill</w:t>
      </w:r>
      <w:r>
        <w:t>”</w:t>
      </w:r>
      <w:r>
        <w:rPr>
          <w:rStyle w:val="Funotenzeichen"/>
        </w:rPr>
        <w:footnoteReference w:id="8"/>
      </w:r>
      <w:r>
        <w:t xml:space="preserve"> of the two bishops. In the charter, </w:t>
      </w:r>
      <w:r>
        <w:rPr>
          <w:b/>
        </w:rPr>
        <w:t>Charles</w:t>
      </w:r>
      <w:r>
        <w:t xml:space="preserve"> spoke of the Jews as “</w:t>
      </w:r>
      <w:r>
        <w:rPr>
          <w:i/>
        </w:rPr>
        <w:t>our servi camerae nostrae</w:t>
      </w:r>
      <w:r>
        <w:t>,”</w:t>
      </w:r>
      <w:r>
        <w:rPr>
          <w:rStyle w:val="Funotenzeichen"/>
        </w:rPr>
        <w:footnoteReference w:id="9"/>
      </w:r>
      <w:r>
        <w:t xml:space="preserve"> a term used for the first time by </w:t>
      </w:r>
      <w:r>
        <w:rPr>
          <w:b/>
        </w:rPr>
        <w:t>Frederick II</w:t>
      </w:r>
      <w:r>
        <w:t xml:space="preserve"> in 1236, referring to the conception that the Jews were appendant to the royal chamber which meant that on</w:t>
      </w:r>
      <w:r>
        <w:t xml:space="preserve"> the one hand the king was obliged to provide for their protection, on the other hand the Jews had to pay taxes to the king. By the mid of the 14th century, however, what initially had functioned as a sort of mutual agreement, had become a hollow promise b</w:t>
      </w:r>
      <w:r>
        <w:t xml:space="preserve">y the rulers, as </w:t>
      </w:r>
      <w:r>
        <w:rPr>
          <w:b/>
        </w:rPr>
        <w:t>Charles’</w:t>
      </w:r>
      <w:r>
        <w:t xml:space="preserve"> charter shows.</w:t>
      </w:r>
      <w:r>
        <w:rPr>
          <w:rStyle w:val="Funotenzeichen"/>
        </w:rPr>
        <w:footnoteReference w:id="10"/>
      </w:r>
      <w:r>
        <w:t xml:space="preserve"> To the wave of pogroms in the years of 1348/49 </w:t>
      </w:r>
      <w:r>
        <w:rPr>
          <w:b/>
        </w:rPr>
        <w:t>Charles</w:t>
      </w:r>
      <w:r>
        <w:t xml:space="preserve"> remained passive and reacted at the very most where his own territorial interests were at stake.</w:t>
      </w:r>
      <w:r>
        <w:rPr>
          <w:rStyle w:val="Funotenzeichen"/>
        </w:rPr>
        <w:footnoteReference w:id="11"/>
      </w:r>
      <w:r>
        <w:t xml:space="preserve"> Therefore, he probably had no qualms about delivering on hi</w:t>
      </w:r>
      <w:r>
        <w:t xml:space="preserve">s promise to the prince-bishop of Würzburg after the pogroms had reached the town in April 1349, leading to the complete annihilation of the Jewish community there. In 1350, the bishopric was officially transferred to </w:t>
      </w:r>
      <w:r>
        <w:rPr>
          <w:b/>
        </w:rPr>
        <w:t>Albrecht</w:t>
      </w:r>
      <w:r>
        <w:t xml:space="preserve"> by the pope. During his tenur</w:t>
      </w:r>
      <w:r>
        <w:t xml:space="preserve">e, no Jews are known to have settled in Würzburg. Meanwhile, </w:t>
      </w:r>
      <w:r>
        <w:rPr>
          <w:b/>
        </w:rPr>
        <w:t>Albrecht</w:t>
      </w:r>
      <w:r>
        <w:t xml:space="preserve"> tried to make use of the belongings of the destroyed Jewish community which he had acquired. In 1354, he appointed a commission of members of the cathedral chapter and officials which wa</w:t>
      </w:r>
      <w:r>
        <w:t>s to raise money so that estates could be purchased. To achieve this goal, the commission was also ordered to “</w:t>
      </w:r>
      <w:r>
        <w:rPr>
          <w:i/>
        </w:rPr>
        <w:t>sell the Jews’ school, the Jewish churchyard and the Jews’ houses, yards and street in Würzburg</w:t>
      </w:r>
      <w:r>
        <w:t>.”</w:t>
      </w:r>
      <w:r>
        <w:rPr>
          <w:rStyle w:val="Funotenzeichen"/>
        </w:rPr>
        <w:footnoteReference w:id="12"/>
      </w:r>
      <w:r>
        <w:t xml:space="preserve"> While it is unknown whether the buildings wer</w:t>
      </w:r>
      <w:r>
        <w:t>e indeed sold, it is documented that the debts of the bishopric, which the prince-bishop had probably hoped to alleviate with the help of the Jewish properties awarded to him, continued to exceed although Albrecht von Hohenlohe even levied new taxes. The a</w:t>
      </w:r>
      <w:r>
        <w:t>ssumption that Albrecht might have benefitted more from Jewish merchants and money lenders than their left properties seems standing to reason, especially when one takes into account that as a result of the conflicts of the prince-bishop with the city coun</w:t>
      </w:r>
      <w:r>
        <w:t>cil, many wealthy burghers left the town, which let the liabilities of the bishopric rise further.</w:t>
      </w:r>
      <w:r>
        <w:rPr>
          <w:rStyle w:val="Funotenzeichen"/>
        </w:rPr>
        <w:footnoteReference w:id="13"/>
      </w:r>
    </w:p>
    <w:p w14:paraId="5A69A3F9" w14:textId="77777777" w:rsidR="00C93B62" w:rsidRDefault="00AF2BF1">
      <w:pPr>
        <w:pStyle w:val="Textkrper"/>
      </w:pPr>
      <w:r>
        <w:lastRenderedPageBreak/>
        <w:t xml:space="preserve">In 1372, differing interests of the chapter, </w:t>
      </w:r>
      <w:r>
        <w:rPr>
          <w:b/>
        </w:rPr>
        <w:t>Charles IV</w:t>
      </w:r>
      <w:r>
        <w:t xml:space="preserve"> and the pope as to the new prince-bishop led to several months of uncertainty again. At the end, at</w:t>
      </w:r>
      <w:r>
        <w:t xml:space="preserve"> the instigation of </w:t>
      </w:r>
      <w:r>
        <w:rPr>
          <w:b/>
        </w:rPr>
        <w:t>Charles IV</w:t>
      </w:r>
      <w:r>
        <w:t xml:space="preserve"> and with support of </w:t>
      </w:r>
      <w:r>
        <w:rPr>
          <w:b/>
        </w:rPr>
        <w:t>Pope Gregor XI</w:t>
      </w:r>
      <w:r>
        <w:t xml:space="preserve">, </w:t>
      </w:r>
      <w:r>
        <w:rPr>
          <w:b/>
        </w:rPr>
        <w:t>Gerhard von Schwarzburg</w:t>
      </w:r>
      <w:r>
        <w:t xml:space="preserve"> </w:t>
      </w:r>
      <w:r>
        <w:t xml:space="preserve">prevailed and became the new prince-bishop. As he had inherited an enormous debt burden from his predecessor </w:t>
      </w:r>
      <w:r>
        <w:rPr>
          <w:b/>
        </w:rPr>
        <w:t>Albrecht</w:t>
      </w:r>
      <w:r>
        <w:t>, he had to look for means to reduce it.</w:t>
      </w:r>
      <w:r>
        <w:br/>
        <w:t xml:space="preserve">Therefore, </w:t>
      </w:r>
      <w:r>
        <w:rPr>
          <w:b/>
        </w:rPr>
        <w:t>Gerhard</w:t>
      </w:r>
      <w:r>
        <w:t xml:space="preserve"> wanted to draw on the possibility to settle Jews in his bishopric. Thanks to hi</w:t>
      </w:r>
      <w:r>
        <w:t xml:space="preserve">s excellent relations to </w:t>
      </w:r>
      <w:r>
        <w:rPr>
          <w:b/>
        </w:rPr>
        <w:t>Charles IV</w:t>
      </w:r>
      <w:r>
        <w:t xml:space="preserve">, the latter granted the bishop the permission. In a charter issued on 9th December 1373, </w:t>
      </w:r>
      <w:r>
        <w:rPr>
          <w:b/>
        </w:rPr>
        <w:t>Charles</w:t>
      </w:r>
      <w:r>
        <w:t xml:space="preserve"> allowed </w:t>
      </w:r>
      <w:r>
        <w:rPr>
          <w:b/>
        </w:rPr>
        <w:t>Gerhard von Schwarzburg</w:t>
      </w:r>
      <w:r>
        <w:t xml:space="preserve"> to “</w:t>
      </w:r>
      <w:r>
        <w:rPr>
          <w:i/>
        </w:rPr>
        <w:t>receive Jews, our and the Reich’s servi camerae nostrae, men and women, to defend, prot</w:t>
      </w:r>
      <w:r>
        <w:rPr>
          <w:i/>
        </w:rPr>
        <w:t>ect and shield them and to make use of them</w:t>
      </w:r>
      <w:r>
        <w:t>.”</w:t>
      </w:r>
      <w:r>
        <w:rPr>
          <w:rStyle w:val="Funotenzeichen"/>
        </w:rPr>
        <w:footnoteReference w:id="14"/>
      </w:r>
      <w:r>
        <w:t xml:space="preserve"> It took time, however, after this privilege was granted until a Jewish settlement occurred. Only in 1376 a single Jew is evidenced in Würzburg, one year later we know of four Jews. How much distrust and anxie</w:t>
      </w:r>
      <w:r>
        <w:t>ty still existed, is shown by two examples: the Jew Salomon from Frankfurt concluded a contract in 1378 with a local nobleman in which the latter had to bind himself to be taken into custody if he did not repay his dues.</w:t>
      </w:r>
      <w:r>
        <w:rPr>
          <w:rStyle w:val="Funotenzeichen"/>
        </w:rPr>
        <w:footnoteReference w:id="15"/>
      </w:r>
      <w:r>
        <w:t xml:space="preserve"> One year later, the Jew </w:t>
      </w:r>
      <w:r>
        <w:rPr>
          <w:b/>
        </w:rPr>
        <w:t>Krosche f</w:t>
      </w:r>
      <w:r>
        <w:rPr>
          <w:b/>
        </w:rPr>
        <w:t>rom Weimar</w:t>
      </w:r>
      <w:r>
        <w:t xml:space="preserve"> had to pledge after being discharged from prison “</w:t>
      </w:r>
      <w:r>
        <w:rPr>
          <w:i/>
        </w:rPr>
        <w:t>that he would not absent himself from our venerable lord, the bishop of Würzburg and that he would reimburse all his dues to the bishop of Würzburg and his bishopric</w:t>
      </w:r>
      <w:r>
        <w:t>.”</w:t>
      </w:r>
      <w:r>
        <w:rPr>
          <w:rStyle w:val="Funotenzeichen"/>
        </w:rPr>
        <w:footnoteReference w:id="16"/>
      </w:r>
      <w:r>
        <w:t xml:space="preserve"> One can only guess that a</w:t>
      </w:r>
      <w:r>
        <w:t xml:space="preserve">nother action of prince-bishop </w:t>
      </w:r>
      <w:r>
        <w:rPr>
          <w:b/>
        </w:rPr>
        <w:t>Gerhard</w:t>
      </w:r>
      <w:r>
        <w:t xml:space="preserve"> contributed to this distrust: Soon after the pogrom, a Christian </w:t>
      </w:r>
      <w:r>
        <w:rPr>
          <w:i/>
        </w:rPr>
        <w:t>chapel of Our Lady</w:t>
      </w:r>
      <w:r>
        <w:t xml:space="preserve"> had been erected in place of the former synagogue. In 1377, </w:t>
      </w:r>
      <w:r>
        <w:rPr>
          <w:b/>
        </w:rPr>
        <w:t>Gerhard</w:t>
      </w:r>
      <w:r>
        <w:t xml:space="preserve"> laid the foundation stone for a bigger church. That it was still </w:t>
      </w:r>
      <w:r>
        <w:t>known in the town, that a Jewish community had existed there several decades ago, shows a document from 1387: A baker and his wife sold some of their properties in Würzburg, in detail “</w:t>
      </w:r>
      <w:r>
        <w:rPr>
          <w:i/>
        </w:rPr>
        <w:t>a yard and a garden called Reyesecke located in front of the yard at St</w:t>
      </w:r>
      <w:r>
        <w:rPr>
          <w:i/>
        </w:rPr>
        <w:t>uetgarten, behind the mill, which is called Grabmuele, across the Jewish churchyard</w:t>
      </w:r>
      <w:r>
        <w:t>.”</w:t>
      </w:r>
      <w:r>
        <w:rPr>
          <w:rStyle w:val="Funotenzeichen"/>
        </w:rPr>
        <w:footnoteReference w:id="17"/>
      </w:r>
      <w:r>
        <w:t xml:space="preserve"> In 1390, a decree hit the few Jews living in Würzburg by this time: </w:t>
      </w:r>
      <w:r>
        <w:rPr>
          <w:b/>
        </w:rPr>
        <w:t>King Wenceslaus</w:t>
      </w:r>
      <w:r>
        <w:t xml:space="preserve"> </w:t>
      </w:r>
      <w:r>
        <w:t xml:space="preserve">enacted that all debts to Jews were to be redeemed. Already in 1385 </w:t>
      </w:r>
      <w:r>
        <w:rPr>
          <w:b/>
        </w:rPr>
        <w:t>Wenceslaus</w:t>
      </w:r>
      <w:r>
        <w:t xml:space="preserve"> had ordered a debt redemption for several towns to win their favor. Having changed sides, in 1390 he decreed a settlement of debts in the territories of allied princes, one of w</w:t>
      </w:r>
      <w:r>
        <w:t xml:space="preserve">hom was the prince-bishop of Würzburg who paid the sum of 15,000 guilder to </w:t>
      </w:r>
      <w:r>
        <w:rPr>
          <w:b/>
        </w:rPr>
        <w:lastRenderedPageBreak/>
        <w:t>Wenceslaus</w:t>
      </w:r>
      <w:r>
        <w:t xml:space="preserve"> in return.</w:t>
      </w:r>
      <w:r>
        <w:br/>
        <w:t xml:space="preserve">Regarding the debts of the bishopric, </w:t>
      </w:r>
      <w:r>
        <w:rPr>
          <w:b/>
        </w:rPr>
        <w:t>Gerhard von Schwarzburg</w:t>
      </w:r>
      <w:r>
        <w:t xml:space="preserve"> was not able to reduce the heavy burden left by </w:t>
      </w:r>
      <w:r>
        <w:rPr>
          <w:b/>
        </w:rPr>
        <w:t>Albrecht</w:t>
      </w:r>
      <w:r>
        <w:t>. To the contrary, even if he levied var</w:t>
      </w:r>
      <w:r>
        <w:t xml:space="preserve">ious new taxes and pawned property of the bishopric, the costs of his clashes with the town led to an increase of the debt. For a short moment, even the imperial immediacy for Würzburg seemed possible. In 1397, </w:t>
      </w:r>
      <w:r>
        <w:rPr>
          <w:b/>
        </w:rPr>
        <w:t>King Wenceslaus</w:t>
      </w:r>
      <w:r>
        <w:t xml:space="preserve"> enacted an inconsistent docum</w:t>
      </w:r>
      <w:r>
        <w:t xml:space="preserve">ent which was interpreted by the citizenry of Würzburg as granting them the status of an imperial city. However, </w:t>
      </w:r>
      <w:r>
        <w:rPr>
          <w:b/>
        </w:rPr>
        <w:t>Wenceslaus</w:t>
      </w:r>
      <w:r>
        <w:t xml:space="preserve"> reversed himself only a few months later, and in 1400, the troops of prince-bishop </w:t>
      </w:r>
      <w:r>
        <w:rPr>
          <w:b/>
        </w:rPr>
        <w:t>Gerhard</w:t>
      </w:r>
      <w:r>
        <w:t xml:space="preserve"> obtained a decisive victory in the battle</w:t>
      </w:r>
      <w:r>
        <w:t xml:space="preserve"> of Bergtheim.</w:t>
      </w:r>
      <w:r>
        <w:rPr>
          <w:rStyle w:val="Funotenzeichen"/>
        </w:rPr>
        <w:footnoteReference w:id="18"/>
      </w:r>
      <w:r>
        <w:t xml:space="preserve"> Summing up </w:t>
      </w:r>
      <w:r>
        <w:rPr>
          <w:b/>
        </w:rPr>
        <w:t>Gerhard’s</w:t>
      </w:r>
      <w:r>
        <w:t xml:space="preserve"> reign and his relations to the Jews of Würzburg, there were only tentative signs of a new beginning of Jewish life in the town. The few Jews that did settle in Würzburg seem to have conducted their business with increa</w:t>
      </w:r>
      <w:r>
        <w:t>sed cautiousness, with good reasons, as the example of the debt redemption in 1390 shows. The relationship between the bishop and the Jews was based exclusively on commercial interests, as the Jews who lived in Würzburg did not settle there as part of a co</w:t>
      </w:r>
      <w:r>
        <w:t>mmunity but as individuals whose permittance to dwell depended on the episcopal need of money.</w:t>
      </w:r>
      <w:r>
        <w:rPr>
          <w:rStyle w:val="Funotenzeichen"/>
        </w:rPr>
        <w:footnoteReference w:id="19"/>
      </w:r>
    </w:p>
    <w:p w14:paraId="21C47CCC" w14:textId="77777777" w:rsidR="00C93B62" w:rsidRDefault="00AF2BF1">
      <w:pPr>
        <w:pStyle w:val="berschrift2"/>
      </w:pPr>
      <w:bookmarkStart w:id="4" w:name="bibliography"/>
      <w:r>
        <w:t>Bibliography</w:t>
      </w:r>
      <w:bookmarkEnd w:id="4"/>
    </w:p>
    <w:p w14:paraId="09F462D2" w14:textId="77777777" w:rsidR="00C93B62" w:rsidRDefault="00AF2BF1">
      <w:pPr>
        <w:pStyle w:val="Literaturverzeichnis"/>
      </w:pPr>
      <w:bookmarkStart w:id="5" w:name="Xfd7d05a0dbb7cfefb16860640b86be07f39dceb"/>
      <w:bookmarkStart w:id="6" w:name="refs"/>
      <w:r>
        <w:t xml:space="preserve">Academia Scientiarum Boica, ed. </w:t>
      </w:r>
      <w:r>
        <w:rPr>
          <w:i/>
        </w:rPr>
        <w:t>Monumenta Boica</w:t>
      </w:r>
      <w:r>
        <w:t>. Vol. 41. Munich, 1872.</w:t>
      </w:r>
    </w:p>
    <w:p w14:paraId="7F7FDB6A" w14:textId="77777777" w:rsidR="00C93B62" w:rsidRDefault="00AF2BF1">
      <w:pPr>
        <w:pStyle w:val="Literaturverzeichnis"/>
      </w:pPr>
      <w:bookmarkStart w:id="7" w:name="X793a58fd7e4dd774f383041c20f37513020c475"/>
      <w:bookmarkEnd w:id="5"/>
      <w:r>
        <w:t xml:space="preserve">———, ed. </w:t>
      </w:r>
      <w:r>
        <w:rPr>
          <w:i/>
        </w:rPr>
        <w:t>Monumenta Boica</w:t>
      </w:r>
      <w:r>
        <w:t>. Vol. 42. Munich, 1874.</w:t>
      </w:r>
    </w:p>
    <w:p w14:paraId="67117C7F" w14:textId="77777777" w:rsidR="00C93B62" w:rsidRDefault="00AF2BF1">
      <w:pPr>
        <w:pStyle w:val="Literaturverzeichnis"/>
      </w:pPr>
      <w:bookmarkStart w:id="8" w:name="X906c9c1f2645bf39a84672d3f9ea6911cc1c4af"/>
      <w:bookmarkEnd w:id="7"/>
      <w:r>
        <w:t xml:space="preserve">———, ed. </w:t>
      </w:r>
      <w:r>
        <w:rPr>
          <w:i/>
        </w:rPr>
        <w:t>Monumenta Boica</w:t>
      </w:r>
      <w:r>
        <w:t>.</w:t>
      </w:r>
      <w:r>
        <w:t xml:space="preserve"> Vol. 43. Munich, 1876.</w:t>
      </w:r>
    </w:p>
    <w:p w14:paraId="24E2123E" w14:textId="77777777" w:rsidR="00C93B62" w:rsidRDefault="00AF2BF1">
      <w:pPr>
        <w:pStyle w:val="Literaturverzeichnis"/>
      </w:pPr>
      <w:bookmarkStart w:id="9" w:name="X27f4cf908af7d99012a0206d73128276b125278"/>
      <w:bookmarkEnd w:id="8"/>
      <w:r>
        <w:t xml:space="preserve">———, ed. </w:t>
      </w:r>
      <w:r>
        <w:rPr>
          <w:i/>
        </w:rPr>
        <w:t>Monumenta Boica</w:t>
      </w:r>
      <w:r>
        <w:t>. Vol. 45: Monumenta episcopatus wirziburgensis. Munich, 1899.</w:t>
      </w:r>
    </w:p>
    <w:p w14:paraId="0FE2A2E7" w14:textId="77777777" w:rsidR="00C93B62" w:rsidRDefault="00AF2BF1">
      <w:pPr>
        <w:pStyle w:val="Literaturverzeichnis"/>
      </w:pPr>
      <w:bookmarkStart w:id="10" w:name="ref-arnold_im_2001"/>
      <w:bookmarkEnd w:id="9"/>
      <w:r>
        <w:t xml:space="preserve">Arnold, Klaus. “Im Ringen Um Die Bürgerliche Freiheit: Die Stadt Würzburg Im Späteren Mittelalter (ca. 1250-1400).” In </w:t>
      </w:r>
      <w:r>
        <w:rPr>
          <w:i/>
        </w:rPr>
        <w:t>Geschichte Der Stadt Würzb</w:t>
      </w:r>
      <w:r>
        <w:rPr>
          <w:i/>
        </w:rPr>
        <w:t>urg</w:t>
      </w:r>
      <w:r>
        <w:t>, edited by Ulrich Wagner, I: Von den Anfängen bis zum Ausbruch des Bauernkriegs:94–109. Stuttgart, 2001.</w:t>
      </w:r>
    </w:p>
    <w:p w14:paraId="04902B3F" w14:textId="77777777" w:rsidR="00C93B62" w:rsidRDefault="00AF2BF1">
      <w:pPr>
        <w:pStyle w:val="Literaturverzeichnis"/>
      </w:pPr>
      <w:bookmarkStart w:id="11" w:name="ref-engel_urkundenregesten_1952"/>
      <w:bookmarkEnd w:id="10"/>
      <w:r>
        <w:t xml:space="preserve">Engel, Wilhelm, ed. </w:t>
      </w:r>
      <w:r>
        <w:rPr>
          <w:i/>
        </w:rPr>
        <w:t>Urkundenregesten Zur Geschichte Der Stadt Würzburg</w:t>
      </w:r>
      <w:r>
        <w:t>. Vol. Regesta Herbipolensia 1. Quellen Und Forschungen Zur Geschichte Des Bi</w:t>
      </w:r>
      <w:r>
        <w:t>stums Und Hochstifts Würzburg. Würzburg, 1952.</w:t>
      </w:r>
    </w:p>
    <w:p w14:paraId="29D7D3A0" w14:textId="77777777" w:rsidR="00C93B62" w:rsidRDefault="00AF2BF1">
      <w:pPr>
        <w:pStyle w:val="Literaturverzeichnis"/>
      </w:pPr>
      <w:bookmarkStart w:id="12" w:name="ref-graus_pest_1987"/>
      <w:bookmarkEnd w:id="11"/>
      <w:r>
        <w:t xml:space="preserve">Graus, František. </w:t>
      </w:r>
      <w:r>
        <w:rPr>
          <w:i/>
        </w:rPr>
        <w:t>Pest, Geissler, Judenmorde</w:t>
      </w:r>
      <w:r>
        <w:t>. Veröffentlichungen Des Max-Planck-Instituts Für Geschichte 86. Göttingen, 1987.</w:t>
      </w:r>
    </w:p>
    <w:p w14:paraId="57DE5C64" w14:textId="77777777" w:rsidR="00C93B62" w:rsidRDefault="00AF2BF1">
      <w:pPr>
        <w:pStyle w:val="Literaturverzeichnis"/>
      </w:pPr>
      <w:bookmarkStart w:id="13" w:name="ref-haverkamp_judenverfolgungen_1981"/>
      <w:bookmarkEnd w:id="12"/>
      <w:r>
        <w:t>Haverkamp, Alfred. “Die Judenverfolgungen Zur Zeit Des Schwarzen Todes Im Gesellsch</w:t>
      </w:r>
      <w:r>
        <w:t xml:space="preserve">aftsgefüge Deutscher Städte.” In </w:t>
      </w:r>
      <w:r>
        <w:rPr>
          <w:i/>
        </w:rPr>
        <w:t xml:space="preserve">Zur Geschichte Der Juden Im Deutschland Des </w:t>
      </w:r>
      <w:r>
        <w:rPr>
          <w:i/>
        </w:rPr>
        <w:lastRenderedPageBreak/>
        <w:t>Späten Mittelalters Und Der Frühen Neuzeit</w:t>
      </w:r>
      <w:r>
        <w:t>, edited by Alfred Haverkamp, 27–93. Monographien Zur Geschichte Des Mittelalters 24. Stuttgart, 1981.</w:t>
      </w:r>
    </w:p>
    <w:p w14:paraId="088B5C2C" w14:textId="77777777" w:rsidR="00C93B62" w:rsidRDefault="00AF2BF1">
      <w:pPr>
        <w:pStyle w:val="Literaturverzeichnis"/>
      </w:pPr>
      <w:bookmarkStart w:id="14" w:name="ref-herde_probleme_1978"/>
      <w:bookmarkEnd w:id="13"/>
      <w:r>
        <w:t>Herde, Peter. “Probleme Der Christ</w:t>
      </w:r>
      <w:r>
        <w:t xml:space="preserve">lich-Jüdischen Beziehungen in Mainfranken Im Mittelalter.” </w:t>
      </w:r>
      <w:r>
        <w:rPr>
          <w:i/>
        </w:rPr>
        <w:t>Würzburger Diözesan-Geschichtsblätter</w:t>
      </w:r>
      <w:r>
        <w:t xml:space="preserve"> 40 (1978): 79–94.</w:t>
      </w:r>
    </w:p>
    <w:p w14:paraId="655BB06A" w14:textId="77777777" w:rsidR="00C93B62" w:rsidRDefault="00AF2BF1">
      <w:pPr>
        <w:pStyle w:val="Literaturverzeichnis"/>
      </w:pPr>
      <w:bookmarkStart w:id="15" w:name="ref-kallfelz_wurzburg_1995"/>
      <w:bookmarkEnd w:id="14"/>
      <w:r>
        <w:t xml:space="preserve">Kallfelz, Hatto. “Würzburg.” Edited by Arye Maimon, Mordechai Breuer, and Yacov Guggenheim. </w:t>
      </w:r>
      <w:r>
        <w:rPr>
          <w:i/>
        </w:rPr>
        <w:t>Germania Judaica III: 1350-1519</w:t>
      </w:r>
      <w:r>
        <w:t xml:space="preserve"> 2. Teilband: Ortsartikel Mährisch-Budwitz - Zwolle (1995): 1698–1711.</w:t>
      </w:r>
    </w:p>
    <w:p w14:paraId="098BC7B3" w14:textId="77777777" w:rsidR="00C93B62" w:rsidRDefault="00AF2BF1">
      <w:pPr>
        <w:pStyle w:val="Literaturverzeichnis"/>
      </w:pPr>
      <w:bookmarkStart w:id="16" w:name="ref-muller_wurzburger_2004"/>
      <w:bookmarkEnd w:id="15"/>
      <w:r>
        <w:t xml:space="preserve">Müller, Karlheinz. </w:t>
      </w:r>
      <w:r>
        <w:rPr>
          <w:i/>
        </w:rPr>
        <w:t>Die Würzburger Judengemeinde Im Mittelalter</w:t>
      </w:r>
      <w:r>
        <w:t>. Mainfränkische Studien 70. Würzburg, 2004.</w:t>
      </w:r>
    </w:p>
    <w:p w14:paraId="5278D4CD" w14:textId="77777777" w:rsidR="00C93B62" w:rsidRDefault="00AF2BF1">
      <w:pPr>
        <w:pStyle w:val="Literaturverzeichnis"/>
      </w:pPr>
      <w:bookmarkStart w:id="17" w:name="ref-scherzer_hochstift_1993"/>
      <w:bookmarkEnd w:id="16"/>
      <w:r>
        <w:t xml:space="preserve">Scherzer, Walter. “Das Hochstift Würzburg.” In </w:t>
      </w:r>
      <w:r>
        <w:rPr>
          <w:i/>
        </w:rPr>
        <w:t>Unterfränkische Geschichte: Vom Hohen Mittelalter Bis Zum Beginn Des Konfessionellen Zeitalters</w:t>
      </w:r>
      <w:r>
        <w:t>, edited by Peter Kolb and Ernst-Günter Krenig, 2:17–84. Würzburg, 19</w:t>
      </w:r>
      <w:r>
        <w:t>93.</w:t>
      </w:r>
    </w:p>
    <w:p w14:paraId="00888DD9" w14:textId="77777777" w:rsidR="00C93B62" w:rsidRDefault="00AF2BF1">
      <w:pPr>
        <w:pStyle w:val="Literaturverzeichnis"/>
      </w:pPr>
      <w:bookmarkStart w:id="18" w:name="ref-shulvas_juden_1934"/>
      <w:bookmarkEnd w:id="17"/>
      <w:r>
        <w:t>Shul</w:t>
      </w:r>
      <w:r>
        <w:t>ṿ</w:t>
      </w:r>
      <w:r>
        <w:t xml:space="preserve">as, Mosheh Avigdor. </w:t>
      </w:r>
      <w:r>
        <w:rPr>
          <w:i/>
        </w:rPr>
        <w:t>Die Juden in Würzburg Während Des Mittelalters</w:t>
      </w:r>
      <w:r>
        <w:t>. Berlin, 1934.</w:t>
      </w:r>
    </w:p>
    <w:bookmarkEnd w:id="18"/>
    <w:bookmarkEnd w:id="6"/>
    <w:sectPr w:rsidR="00C93B6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6D2D1" w14:textId="77777777" w:rsidR="00000000" w:rsidRDefault="00AF2BF1">
      <w:pPr>
        <w:spacing w:after="0"/>
      </w:pPr>
      <w:r>
        <w:separator/>
      </w:r>
    </w:p>
  </w:endnote>
  <w:endnote w:type="continuationSeparator" w:id="0">
    <w:p w14:paraId="23E9CBDB" w14:textId="77777777" w:rsidR="00000000" w:rsidRDefault="00AF2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7B5A" w14:textId="77777777" w:rsidR="00C93B62" w:rsidRDefault="00AF2BF1">
      <w:r>
        <w:separator/>
      </w:r>
    </w:p>
  </w:footnote>
  <w:footnote w:type="continuationSeparator" w:id="0">
    <w:p w14:paraId="3D874FC1" w14:textId="77777777" w:rsidR="00C93B62" w:rsidRDefault="00AF2BF1">
      <w:r>
        <w:continuationSeparator/>
      </w:r>
    </w:p>
  </w:footnote>
  <w:footnote w:id="1">
    <w:p w14:paraId="7ADFA632" w14:textId="77777777" w:rsidR="00C93B62" w:rsidRDefault="00AF2BF1">
      <w:pPr>
        <w:pStyle w:val="Funotentext"/>
      </w:pPr>
      <w:r>
        <w:rPr>
          <w:rStyle w:val="Funotenzeichen"/>
        </w:rPr>
        <w:footnoteRef/>
      </w:r>
      <w:r>
        <w:t xml:space="preserve"> See Karlheinz Müller, </w:t>
      </w:r>
      <w:r>
        <w:rPr>
          <w:i/>
        </w:rPr>
        <w:t>Die Würzburger Judengemeinde Im Mittelalter</w:t>
      </w:r>
      <w:r>
        <w:t>, Mainfränkische Studien 70 (Würzburg, 2004), 44–62, particularly 50.</w:t>
      </w:r>
    </w:p>
  </w:footnote>
  <w:footnote w:id="2">
    <w:p w14:paraId="70F7C1F3" w14:textId="77777777" w:rsidR="00C93B62" w:rsidRDefault="00AF2BF1">
      <w:pPr>
        <w:pStyle w:val="Funotentext"/>
      </w:pPr>
      <w:r>
        <w:rPr>
          <w:rStyle w:val="Funotenzeichen"/>
        </w:rPr>
        <w:footnoteRef/>
      </w:r>
      <w:r>
        <w:t xml:space="preserve"> See the passage in a deed of donation for the </w:t>
      </w:r>
      <w:r>
        <w:rPr>
          <w:i/>
        </w:rPr>
        <w:t>Marienkapelle</w:t>
      </w:r>
      <w:r>
        <w:t xml:space="preserve"> from 1349: “</w:t>
      </w:r>
      <w:r>
        <w:rPr>
          <w:i/>
        </w:rPr>
        <w:t>in loco dicto wff dem juden platz</w:t>
      </w:r>
      <w:r>
        <w:t xml:space="preserve">”: Academia Scientiarum Boica, ed., </w:t>
      </w:r>
      <w:r>
        <w:rPr>
          <w:i/>
        </w:rPr>
        <w:t>Monumenta Boica</w:t>
      </w:r>
      <w:r>
        <w:t>, vol. 43 (Munich, 1876), Nr</w:t>
      </w:r>
      <w:r>
        <w:t>. CXXVIII, here 296.</w:t>
      </w:r>
    </w:p>
  </w:footnote>
  <w:footnote w:id="3">
    <w:p w14:paraId="6BD88155" w14:textId="77777777" w:rsidR="00C93B62" w:rsidRDefault="00AF2BF1">
      <w:pPr>
        <w:pStyle w:val="Funotentext"/>
      </w:pPr>
      <w:r>
        <w:rPr>
          <w:rStyle w:val="Funotenzeichen"/>
        </w:rPr>
        <w:footnoteRef/>
      </w:r>
      <w:r>
        <w:t xml:space="preserve"> See the information in Hatto Kallfelz, “Würzburg,” ed. Arye Maimon, Mordechai Breuer, and Yacov Guggenheim, </w:t>
      </w:r>
      <w:r>
        <w:rPr>
          <w:i/>
        </w:rPr>
        <w:t>Germania Judaica III: 1350-1519</w:t>
      </w:r>
      <w:r>
        <w:t xml:space="preserve"> 2. Teilband: Ortsartikel Mährisch-Budwitz - Zwolle (1995): 1698–1711, here 1699.</w:t>
      </w:r>
    </w:p>
  </w:footnote>
  <w:footnote w:id="4">
    <w:p w14:paraId="6BE69608" w14:textId="77777777" w:rsidR="00C93B62" w:rsidRDefault="00AF2BF1">
      <w:pPr>
        <w:pStyle w:val="Funotentext"/>
      </w:pPr>
      <w:r>
        <w:rPr>
          <w:rStyle w:val="Funotenzeichen"/>
        </w:rPr>
        <w:footnoteRef/>
      </w:r>
      <w:r>
        <w:t xml:space="preserve"> The releva</w:t>
      </w:r>
      <w:r>
        <w:t>nt works on this topic (also referred to primarily in this paper) are Mosheh Avigdor Shul</w:t>
      </w:r>
      <w:r>
        <w:t>ṿ</w:t>
      </w:r>
      <w:r>
        <w:t xml:space="preserve">as, </w:t>
      </w:r>
      <w:r>
        <w:rPr>
          <w:i/>
        </w:rPr>
        <w:t>Die Juden in Würzburg Während Des Mittelalters</w:t>
      </w:r>
      <w:r>
        <w:t xml:space="preserve"> (Berlin, 1934). and Müller, </w:t>
      </w:r>
      <w:r>
        <w:rPr>
          <w:i/>
        </w:rPr>
        <w:t>Die Würzburger Judengemeinde Im Mittelalter</w:t>
      </w:r>
      <w:r>
        <w:t>.</w:t>
      </w:r>
    </w:p>
  </w:footnote>
  <w:footnote w:id="5">
    <w:p w14:paraId="0816B05D" w14:textId="77777777" w:rsidR="00C93B62" w:rsidRDefault="00AF2BF1">
      <w:pPr>
        <w:pStyle w:val="Funotentext"/>
      </w:pPr>
      <w:r>
        <w:rPr>
          <w:rStyle w:val="Funotenzeichen"/>
        </w:rPr>
        <w:footnoteRef/>
      </w:r>
      <w:r>
        <w:t xml:space="preserve"> On the problem that medieval sources on </w:t>
      </w:r>
      <w:r>
        <w:t xml:space="preserve">this topic refer primarily to situations of crisis, see Peter Herde, “Probleme Der Christlich-Jüdischen Beziehungen in Mainfranken Im Mittelalter,” </w:t>
      </w:r>
      <w:r>
        <w:rPr>
          <w:i/>
        </w:rPr>
        <w:t>Würzburger Diözesan-Geschichtsblätter</w:t>
      </w:r>
      <w:r>
        <w:t xml:space="preserve"> 40 (1978): 79–94, particularly 79.</w:t>
      </w:r>
    </w:p>
  </w:footnote>
  <w:footnote w:id="6">
    <w:p w14:paraId="69789236" w14:textId="77777777" w:rsidR="00C93B62" w:rsidRDefault="00AF2BF1">
      <w:pPr>
        <w:pStyle w:val="Funotentext"/>
      </w:pPr>
      <w:r>
        <w:rPr>
          <w:rStyle w:val="Funotenzeichen"/>
        </w:rPr>
        <w:footnoteRef/>
      </w:r>
      <w:r>
        <w:t xml:space="preserve"> See the classic monography by Gra</w:t>
      </w:r>
      <w:r>
        <w:t xml:space="preserve">us: František Graus, </w:t>
      </w:r>
      <w:r>
        <w:rPr>
          <w:i/>
        </w:rPr>
        <w:t>Pest, Geissler, Judenmorde</w:t>
      </w:r>
      <w:r>
        <w:t>, Veröffentlichungen Des Max-Planck-Instituts Für Geschichte 86 (Göttingen, 1987).</w:t>
      </w:r>
    </w:p>
  </w:footnote>
  <w:footnote w:id="7">
    <w:p w14:paraId="518E04D2" w14:textId="77777777" w:rsidR="00C93B62" w:rsidRDefault="00AF2BF1">
      <w:pPr>
        <w:pStyle w:val="Funotentext"/>
      </w:pPr>
      <w:r>
        <w:rPr>
          <w:rStyle w:val="Funotenzeichen"/>
        </w:rPr>
        <w:footnoteRef/>
      </w:r>
      <w:r>
        <w:t xml:space="preserve"> See Walter Scherzer, “Das Hochstift Würzburg,” in </w:t>
      </w:r>
      <w:r>
        <w:rPr>
          <w:i/>
        </w:rPr>
        <w:t>Unterfränkische Geschichte: Vom Hohen Mittelalter Bis Zum Beginn Des Konfe</w:t>
      </w:r>
      <w:r>
        <w:rPr>
          <w:i/>
        </w:rPr>
        <w:t>ssionellen Zeitalters</w:t>
      </w:r>
      <w:r>
        <w:t>, ed. Peter Kolb and Ernst-Günter Krenig, vol. 2 (Würzburg, 1993), 17–84, here 41.</w:t>
      </w:r>
    </w:p>
  </w:footnote>
  <w:footnote w:id="8">
    <w:p w14:paraId="505BD902" w14:textId="77777777" w:rsidR="00C93B62" w:rsidRDefault="00AF2BF1">
      <w:pPr>
        <w:pStyle w:val="Funotentext"/>
      </w:pPr>
      <w:r>
        <w:rPr>
          <w:rStyle w:val="Funotenzeichen"/>
        </w:rPr>
        <w:footnoteRef/>
      </w:r>
      <w:r>
        <w:t xml:space="preserve"> “</w:t>
      </w:r>
      <w:r>
        <w:rPr>
          <w:i/>
        </w:rPr>
        <w:t>daz wir mit der selben juden gute weder mit varend oder mit vnuarend […] noch enmvgen mit gabe oder andern sachen da mite daz vertzogen vnd emphremde</w:t>
      </w:r>
      <w:r>
        <w:rPr>
          <w:i/>
        </w:rPr>
        <w:t>t mocht werden on iren besundern rat vnd willen</w:t>
      </w:r>
      <w:r>
        <w:t xml:space="preserve">”: Academia Scientiarum Boica, ed., </w:t>
      </w:r>
      <w:r>
        <w:rPr>
          <w:i/>
        </w:rPr>
        <w:t>Monumenta Boica</w:t>
      </w:r>
      <w:r>
        <w:t>, vol. 41 (Munich, 1872), Nr. CXXXVII, 389.</w:t>
      </w:r>
    </w:p>
  </w:footnote>
  <w:footnote w:id="9">
    <w:p w14:paraId="6EA11111" w14:textId="77777777" w:rsidR="00C93B62" w:rsidRDefault="00AF2BF1">
      <w:pPr>
        <w:pStyle w:val="Funotentext"/>
      </w:pPr>
      <w:r>
        <w:rPr>
          <w:rStyle w:val="Funotenzeichen"/>
        </w:rPr>
        <w:footnoteRef/>
      </w:r>
      <w:r>
        <w:t xml:space="preserve"> “</w:t>
      </w:r>
      <w:r>
        <w:rPr>
          <w:i/>
        </w:rPr>
        <w:t>vnsern camerknechten</w:t>
      </w:r>
      <w:r>
        <w:t>”, ibid., Nr. CXXXVII, 389.</w:t>
      </w:r>
    </w:p>
  </w:footnote>
  <w:footnote w:id="10">
    <w:p w14:paraId="3418B63B" w14:textId="77777777" w:rsidR="00C93B62" w:rsidRDefault="00AF2BF1">
      <w:pPr>
        <w:pStyle w:val="Funotentext"/>
      </w:pPr>
      <w:r>
        <w:rPr>
          <w:rStyle w:val="Funotenzeichen"/>
        </w:rPr>
        <w:footnoteRef/>
      </w:r>
      <w:r>
        <w:t xml:space="preserve"> See Müller, </w:t>
      </w:r>
      <w:r>
        <w:rPr>
          <w:i/>
        </w:rPr>
        <w:t>Die Würzburger Judengemeinde Im Mittelalter</w:t>
      </w:r>
      <w:r>
        <w:t>, 66–6</w:t>
      </w:r>
      <w:r>
        <w:t>9 and 127-129.</w:t>
      </w:r>
    </w:p>
  </w:footnote>
  <w:footnote w:id="11">
    <w:p w14:paraId="3313D56B" w14:textId="77777777" w:rsidR="00C93B62" w:rsidRDefault="00AF2BF1">
      <w:pPr>
        <w:pStyle w:val="Funotentext"/>
      </w:pPr>
      <w:r>
        <w:rPr>
          <w:rStyle w:val="Funotenzeichen"/>
        </w:rPr>
        <w:footnoteRef/>
      </w:r>
      <w:r>
        <w:t xml:space="preserve"> See Alfred Haverkamp, “Die Judenverfolgungen Zur Zeit Des Schwarzen Todes Im Gesellschaftsgefüge Deutscher Städte,” in </w:t>
      </w:r>
      <w:r>
        <w:rPr>
          <w:i/>
        </w:rPr>
        <w:t>Zur Geschichte Der Juden Im Deutschland Des Späten Mittelalters Und Der Frühen Neuzeit</w:t>
      </w:r>
      <w:r>
        <w:t>, ed. Alfred Haverkamp, Monographi</w:t>
      </w:r>
      <w:r>
        <w:t>en Zur Geschichte Des Mittelalters 24 (Stuttgart, 1981), 85–91.</w:t>
      </w:r>
    </w:p>
  </w:footnote>
  <w:footnote w:id="12">
    <w:p w14:paraId="1AEF3780" w14:textId="77777777" w:rsidR="00C93B62" w:rsidRDefault="00AF2BF1">
      <w:pPr>
        <w:pStyle w:val="Funotentext"/>
      </w:pPr>
      <w:r>
        <w:rPr>
          <w:rStyle w:val="Funotenzeichen"/>
        </w:rPr>
        <w:footnoteRef/>
      </w:r>
      <w:r>
        <w:t xml:space="preserve"> “</w:t>
      </w:r>
      <w:r>
        <w:rPr>
          <w:i/>
        </w:rPr>
        <w:t>zu verkouffen die Juden schul den Juden kirchof vnd der Juden hueser hof hofstet vnd gazzen zu Wirczburg</w:t>
      </w:r>
      <w:r>
        <w:t xml:space="preserve">”: Academia Scientiarum Boica, ed., </w:t>
      </w:r>
      <w:r>
        <w:rPr>
          <w:i/>
        </w:rPr>
        <w:t>Monumenta Boica</w:t>
      </w:r>
      <w:r>
        <w:t xml:space="preserve">, vol. 42 (Munich, 1874), Nr. XLVII, 111. See also Müller, </w:t>
      </w:r>
      <w:r>
        <w:rPr>
          <w:i/>
        </w:rPr>
        <w:t>Die Würzburger Judengemeinde Im Mittelalter</w:t>
      </w:r>
      <w:r>
        <w:t>, 130.</w:t>
      </w:r>
    </w:p>
  </w:footnote>
  <w:footnote w:id="13">
    <w:p w14:paraId="6630E3DE" w14:textId="77777777" w:rsidR="00C93B62" w:rsidRDefault="00AF2BF1">
      <w:pPr>
        <w:pStyle w:val="Funotentext"/>
      </w:pPr>
      <w:r>
        <w:rPr>
          <w:rStyle w:val="Funotenzeichen"/>
        </w:rPr>
        <w:footnoteRef/>
      </w:r>
      <w:r>
        <w:t xml:space="preserve"> See the considerations by Scherzer, “Das Hochstift Würzburg,” 44.</w:t>
      </w:r>
    </w:p>
  </w:footnote>
  <w:footnote w:id="14">
    <w:p w14:paraId="7CA2A897" w14:textId="77777777" w:rsidR="00C93B62" w:rsidRDefault="00AF2BF1">
      <w:pPr>
        <w:pStyle w:val="Funotentext"/>
      </w:pPr>
      <w:r>
        <w:rPr>
          <w:rStyle w:val="Funotenzeichen"/>
        </w:rPr>
        <w:footnoteRef/>
      </w:r>
      <w:r>
        <w:t xml:space="preserve"> “</w:t>
      </w:r>
      <w:r>
        <w:rPr>
          <w:i/>
        </w:rPr>
        <w:t>juden, vnser vnd des reichs camer knecht, mann vnd weib empfahen, die vortei</w:t>
      </w:r>
      <w:r>
        <w:rPr>
          <w:i/>
        </w:rPr>
        <w:t>digen schuczen schirmen vnd der genyssen muge vnd sulle</w:t>
      </w:r>
      <w:r>
        <w:t xml:space="preserve">”: Academia Scientiarum Boica, </w:t>
      </w:r>
      <w:r>
        <w:rPr>
          <w:i/>
        </w:rPr>
        <w:t>Monumenta Boica</w:t>
      </w:r>
      <w:r>
        <w:t>, Nr. XXII, 47.</w:t>
      </w:r>
    </w:p>
  </w:footnote>
  <w:footnote w:id="15">
    <w:p w14:paraId="072AAD1C" w14:textId="77777777" w:rsidR="00C93B62" w:rsidRDefault="00AF2BF1">
      <w:pPr>
        <w:pStyle w:val="Funotentext"/>
      </w:pPr>
      <w:r>
        <w:rPr>
          <w:rStyle w:val="Funotenzeichen"/>
        </w:rPr>
        <w:footnoteRef/>
      </w:r>
      <w:r>
        <w:t xml:space="preserve"> See Shul</w:t>
      </w:r>
      <w:r>
        <w:t>ṿ</w:t>
      </w:r>
      <w:r>
        <w:t xml:space="preserve">as, </w:t>
      </w:r>
      <w:r>
        <w:rPr>
          <w:i/>
        </w:rPr>
        <w:t>Die Juden in Würzburg Während Des Mittelalters</w:t>
      </w:r>
      <w:r>
        <w:t>, 51f.</w:t>
      </w:r>
    </w:p>
  </w:footnote>
  <w:footnote w:id="16">
    <w:p w14:paraId="0B3FAF37" w14:textId="77777777" w:rsidR="00C93B62" w:rsidRDefault="00AF2BF1">
      <w:pPr>
        <w:pStyle w:val="Funotentext"/>
      </w:pPr>
      <w:r>
        <w:rPr>
          <w:rStyle w:val="Funotenzeichen"/>
        </w:rPr>
        <w:footnoteRef/>
      </w:r>
      <w:r>
        <w:t xml:space="preserve"> “</w:t>
      </w:r>
      <w:r>
        <w:rPr>
          <w:i/>
        </w:rPr>
        <w:t>das er sich von dem hochwirdigen vnserm herren, dem bischoff von Wic</w:t>
      </w:r>
      <w:r>
        <w:rPr>
          <w:i/>
        </w:rPr>
        <w:t>zburg (!) nicht entpfremden sol […] Vnd […] das er vnsern obgenanten herren von Wirczburg vnd sinem stift aller schulde […] sol ledig vnd los sagen</w:t>
      </w:r>
      <w:r>
        <w:t xml:space="preserve">”: Academia Scientiarum Boica, ed., </w:t>
      </w:r>
      <w:r>
        <w:rPr>
          <w:i/>
        </w:rPr>
        <w:t>Monumenta Boica</w:t>
      </w:r>
      <w:r>
        <w:t>, vol. 45: Monumenta episcopatus wirziburgensis (Munich, 1</w:t>
      </w:r>
      <w:r>
        <w:t>899), Nr. CCXLVI, 353.</w:t>
      </w:r>
    </w:p>
  </w:footnote>
  <w:footnote w:id="17">
    <w:p w14:paraId="2531929F" w14:textId="77777777" w:rsidR="00C93B62" w:rsidRDefault="00AF2BF1">
      <w:pPr>
        <w:pStyle w:val="Funotentext"/>
      </w:pPr>
      <w:r>
        <w:rPr>
          <w:rStyle w:val="Funotenzeichen"/>
        </w:rPr>
        <w:footnoteRef/>
      </w:r>
      <w:r>
        <w:t xml:space="preserve"> “</w:t>
      </w:r>
      <w:r>
        <w:rPr>
          <w:i/>
        </w:rPr>
        <w:t>Hofreite und Garten gen. Reyesecke (Reis-), gelegen vor dem hoffe zu Stuetgarten hinder der muelen, Grabmuele genant, obwendig dez juedenkirchhofes</w:t>
      </w:r>
      <w:r>
        <w:t xml:space="preserve">”: Wilhelm Engel, ed., </w:t>
      </w:r>
      <w:r>
        <w:rPr>
          <w:i/>
        </w:rPr>
        <w:t>Urkundenregesten Zur Geschichte Der Stadt Würzburg</w:t>
      </w:r>
      <w:r>
        <w:t>, vol. Reg</w:t>
      </w:r>
      <w:r>
        <w:t>esta Herbipolensia 1, Quellen Und Forschungen Zur Geschichte Des Bistums Und Hochstifts Würzburg (Würzburg, 1952), Nr. 468, 19th August 1388, 353.</w:t>
      </w:r>
    </w:p>
  </w:footnote>
  <w:footnote w:id="18">
    <w:p w14:paraId="79D295BB" w14:textId="77777777" w:rsidR="00C93B62" w:rsidRDefault="00AF2BF1">
      <w:pPr>
        <w:pStyle w:val="Funotentext"/>
      </w:pPr>
      <w:r>
        <w:rPr>
          <w:rStyle w:val="Funotenzeichen"/>
        </w:rPr>
        <w:footnoteRef/>
      </w:r>
      <w:r>
        <w:t xml:space="preserve"> See Klaus Arnold, “Im Ringen Um Die Bürgerliche Freiheit: Die Stadt Würzburg Im Späteren Mittelalter (ca. 1</w:t>
      </w:r>
      <w:r>
        <w:t xml:space="preserve">250-1400),” in </w:t>
      </w:r>
      <w:r>
        <w:rPr>
          <w:i/>
        </w:rPr>
        <w:t>Geschichte Der Stadt Würzburg</w:t>
      </w:r>
      <w:r>
        <w:t>, ed. Ulrich Wagner, vol. I: Von den Anfängen bis zum Ausbruch des Bauernkriegs (Stuttgart, 2001), 94–109, here 104-108.</w:t>
      </w:r>
    </w:p>
  </w:footnote>
  <w:footnote w:id="19">
    <w:p w14:paraId="1EC71B13" w14:textId="77777777" w:rsidR="00C93B62" w:rsidRDefault="00AF2BF1">
      <w:pPr>
        <w:pStyle w:val="Funotentext"/>
      </w:pPr>
      <w:r>
        <w:rPr>
          <w:rStyle w:val="Funotenzeichen"/>
        </w:rPr>
        <w:footnoteRef/>
      </w:r>
      <w:r>
        <w:t xml:space="preserve"> This point is stressed by Müller, </w:t>
      </w:r>
      <w:r>
        <w:rPr>
          <w:i/>
        </w:rPr>
        <w:t>Die Würzburger Judengemeinde Im Mittelalter</w:t>
      </w:r>
      <w:r>
        <w:t>, 135–37.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E22C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F2BF1"/>
    <w:rsid w:val="00B86B75"/>
    <w:rsid w:val="00BC48D5"/>
    <w:rsid w:val="00C36279"/>
    <w:rsid w:val="00C93B6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BA6C"/>
  <w15:docId w15:val="{8865D91D-821D-4614-8EF3-B07CCDD3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1655</Words>
  <Characters>10430</Characters>
  <Application>Microsoft Office Word</Application>
  <DocSecurity>0</DocSecurity>
  <Lines>86</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Prince-Bishops of Würzburg and the Jews in the Late Middle Ages after 1349”</dc:title>
  <dc:creator>Elias Oppenrieder</dc:creator>
  <cp:keywords/>
  <cp:lastModifiedBy>Elias Oppenrieder</cp:lastModifiedBy>
  <cp:revision>2</cp:revision>
  <dcterms:created xsi:type="dcterms:W3CDTF">2020-11-02T09:52:00Z</dcterms:created>
  <dcterms:modified xsi:type="dcterms:W3CDTF">2020-11-02T09:52:00Z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JewsMA.bib</vt:lpwstr>
  </property>
  <property fmtid="{D5CDD505-2E9C-101B-9397-08002B2CF9AE}" pid="3" name="csl">
    <vt:lpwstr>cms-fullnote.csl</vt:lpwstr>
  </property>
  <property fmtid="{D5CDD505-2E9C-101B-9397-08002B2CF9AE}" pid="4" name="date">
    <vt:lpwstr/>
  </property>
  <property fmtid="{D5CDD505-2E9C-101B-9397-08002B2CF9AE}" pid="5" name="subtitle">
    <vt:lpwstr>An Essay</vt:lpwstr>
  </property>
</Properties>
</file>