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AB37AD" w14:textId="77777777" w:rsidR="008A3A92" w:rsidRPr="00A7676C" w:rsidRDefault="008A3A92" w:rsidP="00C50D06">
      <w:pPr>
        <w:pStyle w:val="Titolo3"/>
        <w:spacing w:line="360" w:lineRule="auto"/>
        <w:rPr>
          <w:rFonts w:eastAsia="Arial"/>
          <w:bCs w:val="0"/>
          <w:sz w:val="24"/>
          <w:szCs w:val="24"/>
        </w:rPr>
      </w:pPr>
      <w:r w:rsidRPr="00A7676C">
        <w:rPr>
          <w:rFonts w:eastAsia="Arial"/>
          <w:bCs w:val="0"/>
          <w:sz w:val="24"/>
          <w:szCs w:val="24"/>
        </w:rPr>
        <w:t>Supplementary Materials</w:t>
      </w:r>
    </w:p>
    <w:p w14:paraId="744F7473" w14:textId="4C8370AB" w:rsidR="00326B1C" w:rsidRPr="00A7676C" w:rsidRDefault="008A3A92" w:rsidP="00C50D06">
      <w:pPr>
        <w:pStyle w:val="Titolo3"/>
        <w:spacing w:line="360" w:lineRule="auto"/>
        <w:rPr>
          <w:rFonts w:eastAsia="Arial"/>
          <w:bCs w:val="0"/>
          <w:sz w:val="24"/>
          <w:szCs w:val="24"/>
        </w:rPr>
      </w:pPr>
      <w:r>
        <w:rPr>
          <w:rFonts w:eastAsia="Arial"/>
          <w:bCs w:val="0"/>
          <w:sz w:val="24"/>
          <w:szCs w:val="24"/>
        </w:rPr>
        <w:t>Preliminary data</w:t>
      </w:r>
    </w:p>
    <w:p w14:paraId="14720425" w14:textId="0C98A3F8" w:rsidR="00A7676C" w:rsidRPr="00EA58F2" w:rsidRDefault="00096BB3" w:rsidP="00C50D06">
      <w:pPr>
        <w:spacing w:line="360" w:lineRule="auto"/>
        <w:rPr>
          <w:rFonts w:ascii="Times New Roman" w:eastAsia="Arial" w:hAnsi="Times New Roman" w:cs="Times New Roman"/>
          <w:sz w:val="24"/>
          <w:szCs w:val="24"/>
        </w:rPr>
      </w:pPr>
      <w:r w:rsidRPr="00EA58F2">
        <w:rPr>
          <w:rFonts w:ascii="Times New Roman" w:hAnsi="Times New Roman" w:cs="Times New Roman"/>
          <w:sz w:val="24"/>
          <w:szCs w:val="24"/>
        </w:rPr>
        <w:t xml:space="preserve">The project builds on two behavioural pilot studies designed to validate the procedure and identify the most informative olfactory </w:t>
      </w:r>
      <w:r w:rsidR="008A3A92" w:rsidRPr="00EA58F2">
        <w:rPr>
          <w:rFonts w:ascii="Times New Roman" w:hAnsi="Times New Roman" w:cs="Times New Roman"/>
          <w:sz w:val="24"/>
          <w:szCs w:val="24"/>
        </w:rPr>
        <w:t xml:space="preserve">cue </w:t>
      </w:r>
      <w:r w:rsidRPr="00EA58F2">
        <w:rPr>
          <w:rFonts w:ascii="Times New Roman" w:hAnsi="Times New Roman" w:cs="Times New Roman"/>
          <w:sz w:val="24"/>
          <w:szCs w:val="24"/>
        </w:rPr>
        <w:t>for the</w:t>
      </w:r>
      <w:r w:rsidRPr="00EA58F2">
        <w:rPr>
          <w:rFonts w:ascii="Times New Roman" w:eastAsia="Arial" w:hAnsi="Times New Roman" w:cs="Times New Roman"/>
          <w:sz w:val="24"/>
          <w:szCs w:val="24"/>
        </w:rPr>
        <w:t xml:space="preserve"> main experiment. We used an Air Up bottle, a water bottle that delivers aromas through scented pods positioned on the mouthpiece. As participants drink plain water, the aromas reach the olfactory receptors via the </w:t>
      </w:r>
      <w:proofErr w:type="spellStart"/>
      <w:r w:rsidRPr="00EA58F2">
        <w:rPr>
          <w:rFonts w:ascii="Times New Roman" w:eastAsia="Arial" w:hAnsi="Times New Roman" w:cs="Times New Roman"/>
          <w:sz w:val="24"/>
          <w:szCs w:val="24"/>
        </w:rPr>
        <w:t>retronasal</w:t>
      </w:r>
      <w:proofErr w:type="spellEnd"/>
      <w:r w:rsidRPr="00EA58F2">
        <w:rPr>
          <w:rFonts w:ascii="Times New Roman" w:eastAsia="Arial" w:hAnsi="Times New Roman" w:cs="Times New Roman"/>
          <w:sz w:val="24"/>
          <w:szCs w:val="24"/>
        </w:rPr>
        <w:t xml:space="preserve"> route, creating the perception of flavour, without altering the ingested liquid. This allows olfactory expectations to be manipulated while keeping the physical and nutritional properties of the drink constant. </w:t>
      </w:r>
    </w:p>
    <w:p w14:paraId="744F7475" w14:textId="5764FDA8" w:rsidR="00326B1C" w:rsidRPr="00EA58F2" w:rsidRDefault="00096BB3" w:rsidP="00C50D06">
      <w:pPr>
        <w:spacing w:line="360" w:lineRule="auto"/>
        <w:rPr>
          <w:rFonts w:ascii="Times New Roman" w:eastAsia="Arial" w:hAnsi="Times New Roman" w:cs="Times New Roman"/>
          <w:b/>
          <w:bCs/>
          <w:sz w:val="24"/>
          <w:szCs w:val="24"/>
        </w:rPr>
      </w:pPr>
      <w:r w:rsidRPr="00EA58F2">
        <w:rPr>
          <w:rFonts w:ascii="Times New Roman" w:hAnsi="Times New Roman" w:cs="Times New Roman"/>
          <w:sz w:val="24"/>
          <w:szCs w:val="24"/>
        </w:rPr>
        <w:t>The pilots</w:t>
      </w:r>
      <w:r w:rsidRPr="00EA58F2">
        <w:rPr>
          <w:rFonts w:ascii="Times New Roman" w:eastAsia="Arial" w:hAnsi="Times New Roman" w:cs="Times New Roman"/>
          <w:sz w:val="24"/>
          <w:szCs w:val="24"/>
        </w:rPr>
        <w:t xml:space="preserve"> tested whether calorie-related </w:t>
      </w:r>
      <w:proofErr w:type="spellStart"/>
      <w:r w:rsidRPr="00EA58F2">
        <w:rPr>
          <w:rFonts w:ascii="Times New Roman" w:eastAsia="Arial" w:hAnsi="Times New Roman" w:cs="Times New Roman"/>
          <w:sz w:val="24"/>
          <w:szCs w:val="24"/>
        </w:rPr>
        <w:t>retronasal</w:t>
      </w:r>
      <w:proofErr w:type="spellEnd"/>
      <w:r w:rsidRPr="00EA58F2">
        <w:rPr>
          <w:rFonts w:ascii="Times New Roman" w:eastAsia="Arial" w:hAnsi="Times New Roman" w:cs="Times New Roman"/>
          <w:sz w:val="24"/>
          <w:szCs w:val="24"/>
        </w:rPr>
        <w:t xml:space="preserve"> olfactory cues could indeed alter the perceived sensory and nutritional properties of water ingestion. </w:t>
      </w:r>
      <w:r w:rsidR="00C8551B" w:rsidRPr="00EA58F2">
        <w:rPr>
          <w:rFonts w:ascii="Times New Roman" w:eastAsia="Arial" w:hAnsi="Times New Roman" w:cs="Times New Roman"/>
          <w:sz w:val="24"/>
          <w:szCs w:val="24"/>
        </w:rPr>
        <w:t xml:space="preserve">Both pilots used a within-participants design with two drinking conditions administered in randomised order and separated by a 15-min interval. In each condition, participants drank 200 ml of plain water from a covered Air Up bottle, so that the ingested liquid was identical across conditions and the mouthpiece could not be inspected visually. What varied across conditions was the </w:t>
      </w:r>
      <w:proofErr w:type="spellStart"/>
      <w:r w:rsidR="00C8551B" w:rsidRPr="00EA58F2">
        <w:rPr>
          <w:rFonts w:ascii="Times New Roman" w:eastAsia="Arial" w:hAnsi="Times New Roman" w:cs="Times New Roman"/>
          <w:sz w:val="24"/>
          <w:szCs w:val="24"/>
        </w:rPr>
        <w:t>retronasal</w:t>
      </w:r>
      <w:proofErr w:type="spellEnd"/>
      <w:r w:rsidR="00C8551B" w:rsidRPr="00EA58F2">
        <w:rPr>
          <w:rFonts w:ascii="Times New Roman" w:eastAsia="Arial" w:hAnsi="Times New Roman" w:cs="Times New Roman"/>
          <w:sz w:val="24"/>
          <w:szCs w:val="24"/>
        </w:rPr>
        <w:t xml:space="preserve"> olfactory cue accompanying ingestion: Pilot 1 compared two calorie-related scented pods, whereas Pilot 2 compared a scented pod with a no-pod control</w:t>
      </w:r>
      <w:r w:rsidR="00A414E6" w:rsidRPr="00EA58F2">
        <w:rPr>
          <w:rFonts w:ascii="Times New Roman" w:eastAsia="Arial" w:hAnsi="Times New Roman" w:cs="Times New Roman"/>
          <w:b/>
          <w:bCs/>
          <w:sz w:val="24"/>
          <w:szCs w:val="24"/>
        </w:rPr>
        <w:t xml:space="preserve"> condition</w:t>
      </w:r>
      <w:r w:rsidR="00C8551B" w:rsidRPr="00EA58F2">
        <w:rPr>
          <w:rFonts w:ascii="Times New Roman" w:eastAsia="Arial" w:hAnsi="Times New Roman" w:cs="Times New Roman"/>
          <w:sz w:val="24"/>
          <w:szCs w:val="24"/>
        </w:rPr>
        <w:t>. Immediately after each drink, participants rated the perceived sensory and nutritional properties of the beverage (0-100 Visual Analogue Scale) and answered two open-ended questions about the perceived identity of the beverage and its presumed ingredients.</w:t>
      </w:r>
    </w:p>
    <w:p w14:paraId="744F7476" w14:textId="7C36BDC9" w:rsidR="00326B1C" w:rsidRPr="00A7676C" w:rsidRDefault="00096BB3" w:rsidP="00C50D06">
      <w:pPr>
        <w:spacing w:before="280" w:after="280" w:line="360" w:lineRule="auto"/>
        <w:rPr>
          <w:rFonts w:ascii="Times New Roman" w:eastAsia="Arial" w:hAnsi="Times New Roman" w:cs="Times New Roman"/>
          <w:b/>
          <w:bCs/>
          <w:sz w:val="24"/>
          <w:szCs w:val="24"/>
        </w:rPr>
      </w:pPr>
      <w:r w:rsidRPr="00A7676C">
        <w:rPr>
          <w:rFonts w:ascii="Times New Roman" w:eastAsia="Arial" w:hAnsi="Times New Roman" w:cs="Times New Roman"/>
          <w:b/>
          <w:bCs/>
          <w:sz w:val="24"/>
          <w:szCs w:val="24"/>
        </w:rPr>
        <w:t xml:space="preserve">Pilot 1: </w:t>
      </w:r>
      <w:r w:rsidR="00036058">
        <w:rPr>
          <w:rFonts w:ascii="Times New Roman" w:eastAsia="Arial" w:hAnsi="Times New Roman" w:cs="Times New Roman"/>
          <w:b/>
          <w:bCs/>
          <w:sz w:val="24"/>
          <w:szCs w:val="24"/>
        </w:rPr>
        <w:t>C</w:t>
      </w:r>
      <w:r w:rsidRPr="00A7676C">
        <w:rPr>
          <w:rFonts w:ascii="Times New Roman" w:eastAsia="Arial" w:hAnsi="Times New Roman" w:cs="Times New Roman"/>
          <w:b/>
          <w:bCs/>
          <w:sz w:val="24"/>
          <w:szCs w:val="24"/>
        </w:rPr>
        <w:t>omparison of two calorie-related olfactory cues</w:t>
      </w:r>
    </w:p>
    <w:p w14:paraId="744F7477" w14:textId="515A8A13" w:rsidR="00326B1C" w:rsidRPr="00A7676C" w:rsidRDefault="00C50D06" w:rsidP="00C50D06">
      <w:pPr>
        <w:spacing w:before="280" w:after="280" w:line="360" w:lineRule="auto"/>
        <w:rPr>
          <w:rFonts w:ascii="Times New Roman" w:eastAsia="Arial" w:hAnsi="Times New Roman" w:cs="Times New Roman"/>
          <w:sz w:val="24"/>
          <w:szCs w:val="24"/>
        </w:rPr>
      </w:pPr>
      <w:r w:rsidRPr="00C50D06">
        <w:rPr>
          <w:rFonts w:ascii="Times New Roman" w:hAnsi="Times New Roman" w:cs="Times New Roman"/>
          <w:sz w:val="24"/>
          <w:szCs w:val="24"/>
        </w:rPr>
        <w:t xml:space="preserve">Twenty-eight participants took </w:t>
      </w:r>
      <w:r w:rsidRPr="00D51843">
        <w:rPr>
          <w:rFonts w:ascii="Times New Roman" w:hAnsi="Times New Roman" w:cs="Times New Roman"/>
          <w:sz w:val="24"/>
          <w:szCs w:val="24"/>
        </w:rPr>
        <w:t>part in Pilot 1 (</w:t>
      </w:r>
      <w:r w:rsidR="00D51843" w:rsidRPr="00D51843">
        <w:rPr>
          <w:rFonts w:ascii="Times New Roman" w:hAnsi="Times New Roman" w:cs="Times New Roman"/>
          <w:sz w:val="24"/>
          <w:szCs w:val="24"/>
        </w:rPr>
        <w:t>14 women, 14 men</w:t>
      </w:r>
      <w:r w:rsidR="00D51843" w:rsidRPr="00D51843">
        <w:rPr>
          <w:rFonts w:ascii="Times New Roman" w:hAnsi="Times New Roman" w:cs="Times New Roman"/>
        </w:rPr>
        <w:t xml:space="preserve">; </w:t>
      </w:r>
      <w:r w:rsidRPr="00D51843">
        <w:rPr>
          <w:rStyle w:val="Enfasicorsivo"/>
          <w:rFonts w:ascii="Times New Roman" w:hAnsi="Times New Roman" w:cs="Times New Roman"/>
          <w:sz w:val="24"/>
          <w:szCs w:val="24"/>
        </w:rPr>
        <w:t>M</w:t>
      </w:r>
      <w:r w:rsidRPr="00D51843">
        <w:rPr>
          <w:rFonts w:ascii="Times New Roman" w:hAnsi="Times New Roman" w:cs="Times New Roman"/>
          <w:sz w:val="24"/>
          <w:szCs w:val="24"/>
        </w:rPr>
        <w:t xml:space="preserve">age = 26.96 years, </w:t>
      </w:r>
      <w:r w:rsidRPr="00D51843">
        <w:rPr>
          <w:rStyle w:val="Enfasicorsivo"/>
          <w:rFonts w:ascii="Times New Roman" w:hAnsi="Times New Roman" w:cs="Times New Roman"/>
          <w:sz w:val="24"/>
          <w:szCs w:val="24"/>
        </w:rPr>
        <w:t>SD</w:t>
      </w:r>
      <w:r w:rsidRPr="00D51843">
        <w:rPr>
          <w:rFonts w:ascii="Times New Roman" w:hAnsi="Times New Roman" w:cs="Times New Roman"/>
          <w:sz w:val="24"/>
          <w:szCs w:val="24"/>
        </w:rPr>
        <w:t xml:space="preserve"> = 4.06, range</w:t>
      </w:r>
      <w:r w:rsidRPr="00C50D06">
        <w:rPr>
          <w:rFonts w:ascii="Times New Roman" w:hAnsi="Times New Roman" w:cs="Times New Roman"/>
          <w:sz w:val="24"/>
          <w:szCs w:val="24"/>
        </w:rPr>
        <w:t xml:space="preserve"> 20–35). Participants were screened for olfactory and gastrointestinal disorders and were asked to abstain from food, drink and smoking for three hours before the session. All participants were adults and provided written informed consent. The study was approved by the Ethics Committee for Transdisciplinary Research (CERT) of Sapienza University of Rome (protocol 189/2024). </w:t>
      </w:r>
      <w:r w:rsidR="00096BB3" w:rsidRPr="00A7676C">
        <w:rPr>
          <w:rFonts w:ascii="Times New Roman" w:eastAsia="Arial" w:hAnsi="Times New Roman" w:cs="Times New Roman"/>
          <w:sz w:val="24"/>
          <w:szCs w:val="24"/>
        </w:rPr>
        <w:t>Pilot 1 compared two candidate calorie-related olfactory cues, chocolate-orange and peach smoothie. The two pods were presented in random order, with a 15-min interval between drinks. In each condition, participants consumed 200 ml of plain water from the covered Air Up bottle. After ingestion, they rated the perceived intensity and pleasantness of the drink and estimated its calorie, sugar and fat content. They also provided open-ended descriptions of the perceived beverage identity and presumed ingredients.</w:t>
      </w:r>
    </w:p>
    <w:p w14:paraId="744F7478" w14:textId="6444400C"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lastRenderedPageBreak/>
        <w:t xml:space="preserve">One-sample Wilcoxon tests against zero confirmed that both pods elicited reliable nutritional associations. Ratings of perceived calories, sugar and fat were </w:t>
      </w:r>
      <w:r w:rsidR="00EA58F2" w:rsidRPr="00EA58F2">
        <w:rPr>
          <w:rFonts w:ascii="Times New Roman" w:eastAsia="Arial" w:hAnsi="Times New Roman" w:cs="Times New Roman"/>
          <w:sz w:val="24"/>
          <w:szCs w:val="24"/>
        </w:rPr>
        <w:t>significantly greater than the scale floor (0)</w:t>
      </w:r>
      <w:r w:rsidR="00EA58F2">
        <w:rPr>
          <w:rFonts w:ascii="Times New Roman" w:eastAsia="Arial" w:hAnsi="Times New Roman" w:cs="Times New Roman"/>
          <w:sz w:val="24"/>
          <w:szCs w:val="24"/>
        </w:rPr>
        <w:t xml:space="preserve"> </w:t>
      </w:r>
      <w:r w:rsidRPr="00A7676C">
        <w:rPr>
          <w:rFonts w:ascii="Times New Roman" w:eastAsia="Arial" w:hAnsi="Times New Roman" w:cs="Times New Roman"/>
          <w:sz w:val="24"/>
          <w:szCs w:val="24"/>
        </w:rPr>
        <w:t>for both chocolate-orange and peach smoothie,</w:t>
      </w:r>
      <w:r w:rsidR="00036058" w:rsidRPr="00036058">
        <w:rPr>
          <w:rFonts w:ascii="Times New Roman" w:eastAsia="Arial" w:hAnsi="Times New Roman" w:cs="Times New Roman"/>
          <w:sz w:val="24"/>
          <w:szCs w:val="24"/>
        </w:rPr>
        <w:t xml:space="preserve"> indicating that participants attributed non-null nutritional content</w:t>
      </w:r>
      <w:r w:rsidRPr="00A7676C">
        <w:rPr>
          <w:rFonts w:ascii="Times New Roman" w:eastAsia="Arial" w:hAnsi="Times New Roman" w:cs="Times New Roman"/>
          <w:sz w:val="24"/>
          <w:szCs w:val="24"/>
        </w:rPr>
        <w:t xml:space="preserve"> with all six comparisons surviving Holm correction, all </w:t>
      </w:r>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Holm</w:t>
      </w:r>
      <w:proofErr w:type="spellEnd"/>
      <w:r w:rsidRPr="00A7676C">
        <w:rPr>
          <w:rFonts w:ascii="Times New Roman" w:eastAsia="Arial" w:hAnsi="Times New Roman" w:cs="Times New Roman"/>
          <w:sz w:val="24"/>
          <w:szCs w:val="24"/>
        </w:rPr>
        <w:t xml:space="preserve"> &lt; .001. Thus, although the ingested liquid was plain water and contained no calories or nutrients, both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olfactory cues led participants to attribute nutritional properties to the beverage.</w:t>
      </w:r>
    </w:p>
    <w:p w14:paraId="744F7479" w14:textId="5CDE920C"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Paired Wilcoxon tests were then used to determine whether the two cues differed in their perceptual or nutritional effects. No reliable differences emerged between peach smoothie and chocolate-orange in perceived intensity, pleasantness, calories, sugar or fat after Holm correction. </w:t>
      </w:r>
      <w:r w:rsidR="002A0122" w:rsidRPr="00122E7C">
        <w:rPr>
          <w:rFonts w:ascii="Times New Roman" w:eastAsia="Arial" w:hAnsi="Times New Roman" w:cs="Times New Roman"/>
          <w:sz w:val="24"/>
          <w:szCs w:val="24"/>
        </w:rPr>
        <w:t>The adjusted p-values were 1.000 for intensity, 1.000 for pleasantness, .401 for calories, 1.000 for sugar and .443 for fat.</w:t>
      </w:r>
      <w:r w:rsidR="00122E7C" w:rsidRPr="00122E7C">
        <w:rPr>
          <w:rFonts w:ascii="Times New Roman" w:eastAsia="Arial" w:hAnsi="Times New Roman" w:cs="Times New Roman"/>
          <w:sz w:val="24"/>
          <w:szCs w:val="24"/>
        </w:rPr>
        <w:t xml:space="preserve"> </w:t>
      </w:r>
      <w:r w:rsidRPr="00A7676C">
        <w:rPr>
          <w:rFonts w:ascii="Times New Roman" w:eastAsia="Arial" w:hAnsi="Times New Roman" w:cs="Times New Roman"/>
          <w:sz w:val="24"/>
          <w:szCs w:val="24"/>
        </w:rPr>
        <w:t>The two calorie-related cues were therefore perceived as comparably intense and pleasant and produced similar levels of nutritional attribution, rather than generating a clearly differentiated experimental contrast. The complete distributions and paired participant-level observations are shown in Figure S1.</w:t>
      </w:r>
    </w:p>
    <w:p w14:paraId="743A0F3D" w14:textId="77777777" w:rsidR="002A0122" w:rsidRDefault="002A0122" w:rsidP="00C50D06">
      <w:pPr>
        <w:spacing w:before="280" w:after="280" w:line="360" w:lineRule="auto"/>
        <w:rPr>
          <w:rFonts w:ascii="Times New Roman" w:eastAsia="Arial" w:hAnsi="Times New Roman" w:cs="Times New Roman"/>
          <w:sz w:val="24"/>
          <w:szCs w:val="24"/>
        </w:rPr>
      </w:pPr>
      <w:r w:rsidRPr="002A0122">
        <w:rPr>
          <w:rFonts w:ascii="Times New Roman" w:eastAsia="Arial" w:hAnsi="Times New Roman" w:cs="Times New Roman"/>
          <w:sz w:val="24"/>
          <w:szCs w:val="24"/>
        </w:rPr>
        <w:t>Open-ended responses to questions about perceived beverage identity and presumed ingredients provided an additional manipulation check. Responses were coded into three categories: plain water; flavoured, infused or low-calorie beverage; and caloric or nutrient-related beverage. Categories were assigned on the basis of the beverage-identity question, with the ingredients question collected as qualitative support only; responses in which the perceived identity was ambiguous or non-beverage were treated as non-classifiable and excluded from the categorical analyses. Four responses from four different participants were excluded on this basis.</w:t>
      </w:r>
    </w:p>
    <w:p w14:paraId="744F747B" w14:textId="6AC3CA70"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Across the two olfactory-cue conditions, 52 of the 56 responses were classifiable. Only 4 of these 52 responses (7.7%) identified the liquid as plain water, whereas 48 responses (92.3%) attributed a beverage-like identity to it. Moreover, 22 of the 52 classifiable responses (42.3%) explicitly referred to caloric or nutrient-related beverages or ingredients. These open-ended reports therefore converged with the rating data, showing that the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cues frequently led participants to infer sensory and nutritional properties that were not present in the ingested water.</w:t>
      </w:r>
    </w:p>
    <w:p w14:paraId="744F747C" w14:textId="07F4F7A6" w:rsidR="00326B1C" w:rsidRPr="00A7676C" w:rsidRDefault="002A0122" w:rsidP="00C50D06">
      <w:pPr>
        <w:spacing w:before="280" w:after="280" w:line="360" w:lineRule="auto"/>
        <w:rPr>
          <w:rFonts w:ascii="Times New Roman" w:eastAsia="Arial" w:hAnsi="Times New Roman" w:cs="Times New Roman"/>
          <w:sz w:val="24"/>
          <w:szCs w:val="24"/>
        </w:rPr>
      </w:pPr>
      <w:r w:rsidRPr="002A0122">
        <w:rPr>
          <w:rFonts w:ascii="Times New Roman" w:eastAsia="Arial" w:hAnsi="Times New Roman" w:cs="Times New Roman"/>
          <w:sz w:val="24"/>
          <w:szCs w:val="24"/>
        </w:rPr>
        <w:t>To test whether the two olfactory cues produced different qualitative interpretations, paired response categories were compared using Bowker's test of symmetry on the 24 participants with classifiable responses for both cues</w:t>
      </w:r>
      <w:r w:rsidR="00096BB3" w:rsidRPr="00A7676C">
        <w:rPr>
          <w:rFonts w:ascii="Times New Roman" w:eastAsia="Arial" w:hAnsi="Times New Roman" w:cs="Times New Roman"/>
          <w:sz w:val="24"/>
          <w:szCs w:val="24"/>
        </w:rPr>
        <w:t>. The distribution of responses did not differ significantly between peach smoothie and chocolate-orange, χ</w:t>
      </w:r>
      <w:proofErr w:type="gramStart"/>
      <w:r w:rsidR="00096BB3" w:rsidRPr="00A7676C">
        <w:rPr>
          <w:rFonts w:ascii="Times New Roman" w:eastAsia="Arial" w:hAnsi="Times New Roman" w:cs="Times New Roman"/>
          <w:sz w:val="24"/>
          <w:szCs w:val="24"/>
        </w:rPr>
        <w:t>²(</w:t>
      </w:r>
      <w:proofErr w:type="gramEnd"/>
      <w:r w:rsidR="00096BB3" w:rsidRPr="00A7676C">
        <w:rPr>
          <w:rFonts w:ascii="Times New Roman" w:eastAsia="Arial" w:hAnsi="Times New Roman" w:cs="Times New Roman"/>
          <w:sz w:val="24"/>
          <w:szCs w:val="24"/>
        </w:rPr>
        <w:t xml:space="preserve">3) = 4.67, </w:t>
      </w:r>
      <w:r w:rsidR="00096BB3" w:rsidRPr="00A7676C">
        <w:rPr>
          <w:rFonts w:ascii="Times New Roman" w:eastAsia="Arial" w:hAnsi="Times New Roman" w:cs="Times New Roman"/>
          <w:i/>
          <w:iCs/>
          <w:sz w:val="24"/>
          <w:szCs w:val="24"/>
        </w:rPr>
        <w:t>p</w:t>
      </w:r>
      <w:r w:rsidR="00096BB3" w:rsidRPr="00A7676C">
        <w:rPr>
          <w:rFonts w:ascii="Times New Roman" w:eastAsia="Arial" w:hAnsi="Times New Roman" w:cs="Times New Roman"/>
          <w:sz w:val="24"/>
          <w:szCs w:val="24"/>
        </w:rPr>
        <w:t xml:space="preserve"> = .198. A planned binary analysis </w:t>
      </w:r>
      <w:r w:rsidR="00096BB3" w:rsidRPr="00A7676C">
        <w:rPr>
          <w:rFonts w:ascii="Times New Roman" w:eastAsia="Arial" w:hAnsi="Times New Roman" w:cs="Times New Roman"/>
          <w:sz w:val="24"/>
          <w:szCs w:val="24"/>
        </w:rPr>
        <w:lastRenderedPageBreak/>
        <w:t xml:space="preserve">further recorded responses as caloric or nutrient-related versus non-caloric. This comparison also showed no reliable difference between the two cues, exact </w:t>
      </w:r>
      <w:proofErr w:type="spellStart"/>
      <w:r w:rsidR="00096BB3" w:rsidRPr="00A7676C">
        <w:rPr>
          <w:rFonts w:ascii="Times New Roman" w:eastAsia="Arial" w:hAnsi="Times New Roman" w:cs="Times New Roman"/>
          <w:sz w:val="24"/>
          <w:szCs w:val="24"/>
        </w:rPr>
        <w:t>McNemar</w:t>
      </w:r>
      <w:proofErr w:type="spellEnd"/>
      <w:r w:rsidR="00096BB3" w:rsidRPr="00A7676C">
        <w:rPr>
          <w:rFonts w:ascii="Times New Roman" w:eastAsia="Arial" w:hAnsi="Times New Roman" w:cs="Times New Roman"/>
          <w:sz w:val="24"/>
          <w:szCs w:val="24"/>
        </w:rPr>
        <w:t xml:space="preserve"> </w:t>
      </w:r>
      <w:r w:rsidR="00096BB3" w:rsidRPr="00A7676C">
        <w:rPr>
          <w:rFonts w:ascii="Times New Roman" w:eastAsia="Arial" w:hAnsi="Times New Roman" w:cs="Times New Roman"/>
          <w:i/>
          <w:iCs/>
          <w:sz w:val="24"/>
          <w:szCs w:val="24"/>
        </w:rPr>
        <w:t>p</w:t>
      </w:r>
      <w:r w:rsidR="00096BB3" w:rsidRPr="00A7676C">
        <w:rPr>
          <w:rFonts w:ascii="Times New Roman" w:eastAsia="Arial" w:hAnsi="Times New Roman" w:cs="Times New Roman"/>
          <w:sz w:val="24"/>
          <w:szCs w:val="24"/>
        </w:rPr>
        <w:t xml:space="preserve"> = .125.</w:t>
      </w:r>
    </w:p>
    <w:p w14:paraId="744F747D" w14:textId="77777777"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The distribution of open-ended response categories for each cue and across cues is shown in Figure S2.</w:t>
      </w:r>
    </w:p>
    <w:p w14:paraId="59B16469" w14:textId="6329C632" w:rsidR="002F44AE" w:rsidRPr="00A7676C" w:rsidRDefault="002F44AE"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Overall, Pilot 1 demonstrated that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food-related aromas could alter the perceived identity and nutritional meaning of plain water. Both candidate pods induced beverage-like and calorie-related interpretations, but the two cues produced closely comparable effects across structured ratings and open-ended descriptions (Figures S1</w:t>
      </w:r>
      <w:r>
        <w:rPr>
          <w:rFonts w:ascii="Times New Roman" w:eastAsia="Arial" w:hAnsi="Times New Roman" w:cs="Times New Roman"/>
          <w:sz w:val="24"/>
          <w:szCs w:val="24"/>
        </w:rPr>
        <w:t>-</w:t>
      </w:r>
      <w:r w:rsidRPr="00A7676C">
        <w:rPr>
          <w:rFonts w:ascii="Times New Roman" w:eastAsia="Arial" w:hAnsi="Times New Roman" w:cs="Times New Roman"/>
          <w:sz w:val="24"/>
          <w:szCs w:val="24"/>
        </w:rPr>
        <w:t xml:space="preserve">S2). Their direct comparison therefore offered limited leverage for isolating the contribution of olfactory expectations. On this basis, Pilot 2 tested the more informative contrast between an active Olfactory Pod and a </w:t>
      </w:r>
      <w:r w:rsidR="0022491D">
        <w:rPr>
          <w:rFonts w:ascii="Times New Roman" w:eastAsia="Arial" w:hAnsi="Times New Roman" w:cs="Times New Roman"/>
          <w:sz w:val="24"/>
          <w:szCs w:val="24"/>
        </w:rPr>
        <w:t>No Olfactory Pod control</w:t>
      </w:r>
      <w:r w:rsidRPr="00A7676C">
        <w:rPr>
          <w:rFonts w:ascii="Times New Roman" w:eastAsia="Arial" w:hAnsi="Times New Roman" w:cs="Times New Roman"/>
          <w:sz w:val="24"/>
          <w:szCs w:val="24"/>
        </w:rPr>
        <w:t xml:space="preserve"> condition. All Pilot 1 results and figures can be reproduced using pilot_1_data_.xlsx and Pilot1_complete_analysis_repository.R.</w:t>
      </w:r>
    </w:p>
    <w:p w14:paraId="744F7481" w14:textId="63E9A653" w:rsidR="00326B1C" w:rsidRPr="00A7676C" w:rsidRDefault="00A7676C"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noProof/>
          <w:sz w:val="24"/>
          <w:szCs w:val="24"/>
        </w:rPr>
        <w:lastRenderedPageBreak/>
        <w:drawing>
          <wp:inline distT="0" distB="0" distL="0" distR="0" wp14:anchorId="014609C0" wp14:editId="2B0E6FF4">
            <wp:extent cx="6116955" cy="69342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16955" cy="6934200"/>
                    </a:xfrm>
                    <a:prstGeom prst="rect">
                      <a:avLst/>
                    </a:prstGeom>
                    <a:noFill/>
                    <a:ln>
                      <a:noFill/>
                    </a:ln>
                  </pic:spPr>
                </pic:pic>
              </a:graphicData>
            </a:graphic>
          </wp:inline>
        </w:drawing>
      </w:r>
    </w:p>
    <w:p w14:paraId="744F7482" w14:textId="3A643E18" w:rsidR="00326B1C" w:rsidRPr="00A7676C" w:rsidRDefault="00096BB3" w:rsidP="00C50D06">
      <w:pPr>
        <w:spacing w:before="280" w:after="280" w:line="240" w:lineRule="auto"/>
        <w:rPr>
          <w:rFonts w:ascii="Times New Roman" w:eastAsia="Arial" w:hAnsi="Times New Roman" w:cs="Times New Roman"/>
          <w:sz w:val="24"/>
          <w:szCs w:val="24"/>
        </w:rPr>
      </w:pPr>
      <w:r w:rsidRPr="00A7676C">
        <w:rPr>
          <w:rFonts w:ascii="Times New Roman" w:eastAsia="Arial" w:hAnsi="Times New Roman" w:cs="Times New Roman"/>
          <w:b/>
          <w:bCs/>
          <w:sz w:val="24"/>
          <w:szCs w:val="24"/>
        </w:rPr>
        <w:t>Figure S1. Perceptual and nutritional ratings in Pilot 1.</w:t>
      </w:r>
      <w:r w:rsidRPr="00A7676C">
        <w:rPr>
          <w:rFonts w:ascii="Times New Roman" w:eastAsia="Arial" w:hAnsi="Times New Roman" w:cs="Times New Roman"/>
          <w:sz w:val="24"/>
          <w:szCs w:val="24"/>
        </w:rPr>
        <w:t xml:space="preserve"> Participants consumed 200 ml of plain water paired with either the peach-smoothie or chocolate-orange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olfactory cue. Panel A shows perceived intensity and pleasantness. Panel B shows perceived calorie, sugar and fat content for the two cues. Paired Wilcoxon signed-rank tests revealed no reliable differences between cues after Holm correction. Panel C shows the same nutritional ratings relative to the scale value of zero. </w:t>
      </w:r>
      <w:r w:rsidR="00036058" w:rsidRPr="00036058">
        <w:rPr>
          <w:rFonts w:ascii="Times New Roman" w:eastAsia="Arial" w:hAnsi="Times New Roman" w:cs="Times New Roman"/>
          <w:sz w:val="24"/>
          <w:szCs w:val="24"/>
        </w:rPr>
        <w:t>Perceived calories, sugar and fat were significantly greater than the scale floor (0)</w:t>
      </w:r>
      <w:r w:rsidR="00036058">
        <w:rPr>
          <w:rFonts w:ascii="Times New Roman" w:eastAsia="Arial" w:hAnsi="Times New Roman" w:cs="Times New Roman"/>
          <w:sz w:val="24"/>
          <w:szCs w:val="24"/>
        </w:rPr>
        <w:t xml:space="preserve"> </w:t>
      </w:r>
      <w:r w:rsidRPr="00A7676C">
        <w:rPr>
          <w:rFonts w:ascii="Times New Roman" w:eastAsia="Arial" w:hAnsi="Times New Roman" w:cs="Times New Roman"/>
          <w:sz w:val="24"/>
          <w:szCs w:val="24"/>
        </w:rPr>
        <w:t xml:space="preserve">for both cues, with all one-sample Wilcoxon tests surviving Holm correction, all </w:t>
      </w:r>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Holm</w:t>
      </w:r>
      <w:proofErr w:type="spellEnd"/>
      <w:r w:rsidRPr="00A7676C">
        <w:rPr>
          <w:rFonts w:ascii="Times New Roman" w:eastAsia="Arial" w:hAnsi="Times New Roman" w:cs="Times New Roman"/>
          <w:sz w:val="24"/>
          <w:szCs w:val="24"/>
        </w:rPr>
        <w:t xml:space="preserve"> &lt; .001. Individual observations are shown together with paired participant-level trajectories, distributional summaries and condition means. *** </w:t>
      </w:r>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Holm</w:t>
      </w:r>
      <w:proofErr w:type="spellEnd"/>
      <w:r w:rsidRPr="00A7676C">
        <w:rPr>
          <w:rFonts w:ascii="Times New Roman" w:eastAsia="Arial" w:hAnsi="Times New Roman" w:cs="Times New Roman"/>
          <w:sz w:val="24"/>
          <w:szCs w:val="24"/>
        </w:rPr>
        <w:t xml:space="preserve"> &lt; .001; ns = non-significant.</w:t>
      </w:r>
    </w:p>
    <w:p w14:paraId="744F7483" w14:textId="77777777"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lastRenderedPageBreak/>
        <w:t>File generated by the script: outputs/Pilot1/figures/Pilot1_combined_panels.pdf</w:t>
      </w:r>
    </w:p>
    <w:p w14:paraId="744F7484" w14:textId="77777777" w:rsidR="00326B1C" w:rsidRPr="00A7676C" w:rsidRDefault="00326B1C" w:rsidP="00C50D06">
      <w:pPr>
        <w:spacing w:before="280" w:after="280" w:line="360" w:lineRule="auto"/>
        <w:rPr>
          <w:rFonts w:ascii="Times New Roman" w:eastAsia="Arial" w:hAnsi="Times New Roman" w:cs="Times New Roman"/>
          <w:sz w:val="24"/>
          <w:szCs w:val="24"/>
        </w:rPr>
      </w:pPr>
    </w:p>
    <w:p w14:paraId="744F7485" w14:textId="77777777"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noProof/>
          <w:sz w:val="24"/>
          <w:szCs w:val="24"/>
        </w:rPr>
        <w:drawing>
          <wp:inline distT="0" distB="0" distL="0" distR="0" wp14:anchorId="744F74A2" wp14:editId="744F74A3">
            <wp:extent cx="6116955" cy="444754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116955" cy="4447540"/>
                    </a:xfrm>
                    <a:prstGeom prst="rect">
                      <a:avLst/>
                    </a:prstGeom>
                    <a:ln/>
                  </pic:spPr>
                </pic:pic>
              </a:graphicData>
            </a:graphic>
          </wp:inline>
        </w:drawing>
      </w:r>
    </w:p>
    <w:p w14:paraId="744F7488" w14:textId="4784EE02" w:rsidR="00326B1C" w:rsidRPr="00A7676C" w:rsidRDefault="00096BB3" w:rsidP="00C50D06">
      <w:pPr>
        <w:pBdr>
          <w:top w:val="nil"/>
          <w:left w:val="nil"/>
          <w:bottom w:val="nil"/>
          <w:right w:val="nil"/>
          <w:between w:val="nil"/>
        </w:pBdr>
        <w:spacing w:line="240" w:lineRule="auto"/>
        <w:rPr>
          <w:rFonts w:ascii="Times New Roman" w:eastAsia="Arial" w:hAnsi="Times New Roman" w:cs="Times New Roman"/>
          <w:color w:val="000000"/>
          <w:sz w:val="24"/>
          <w:szCs w:val="24"/>
        </w:rPr>
      </w:pPr>
      <w:r w:rsidRPr="00A7676C">
        <w:rPr>
          <w:rFonts w:ascii="Times New Roman" w:eastAsia="Arial" w:hAnsi="Times New Roman" w:cs="Times New Roman"/>
          <w:b/>
          <w:bCs/>
          <w:color w:val="000000"/>
          <w:sz w:val="24"/>
          <w:szCs w:val="24"/>
        </w:rPr>
        <w:t>Figure S2. Open-ended beverage-identity responses in Pilot 1.</w:t>
      </w:r>
      <w:r w:rsidRPr="00A7676C">
        <w:rPr>
          <w:rFonts w:ascii="Times New Roman" w:eastAsia="Arial" w:hAnsi="Times New Roman" w:cs="Times New Roman"/>
          <w:color w:val="000000"/>
          <w:sz w:val="24"/>
          <w:szCs w:val="24"/>
        </w:rPr>
        <w:t xml:space="preserve"> Responses were coded as plain water, flavoured/infused or low-calorie beverage, or caloric/nutrient-related beverage. Bars show the percentage and number of classifiable responses separately for the peach-smoothie and chocolate-orange cues and aggregated across cues. Of the 52 classifiable responses, 48 (92.3%) attributed a beverage-like identity to the ingested water and 22 (42.3%) explicitly referred to caloric or nutrient-related properties. The distribution of response categories did not differ reliably between cues, Bowker’s χ</w:t>
      </w:r>
      <w:proofErr w:type="gramStart"/>
      <w:r w:rsidRPr="00A7676C">
        <w:rPr>
          <w:rFonts w:ascii="Times New Roman" w:eastAsia="Arial" w:hAnsi="Times New Roman" w:cs="Times New Roman"/>
          <w:color w:val="000000"/>
          <w:sz w:val="24"/>
          <w:szCs w:val="24"/>
        </w:rPr>
        <w:t>²(</w:t>
      </w:r>
      <w:proofErr w:type="gramEnd"/>
      <w:r w:rsidRPr="00A7676C">
        <w:rPr>
          <w:rFonts w:ascii="Times New Roman" w:eastAsia="Arial" w:hAnsi="Times New Roman" w:cs="Times New Roman"/>
          <w:color w:val="000000"/>
          <w:sz w:val="24"/>
          <w:szCs w:val="24"/>
        </w:rPr>
        <w:t xml:space="preserve">3) = 4.67, </w:t>
      </w:r>
      <w:r w:rsidRPr="00A7676C">
        <w:rPr>
          <w:rFonts w:ascii="Times New Roman" w:eastAsia="Arial" w:hAnsi="Times New Roman" w:cs="Times New Roman"/>
          <w:i/>
          <w:iCs/>
          <w:color w:val="000000"/>
          <w:sz w:val="24"/>
          <w:szCs w:val="24"/>
        </w:rPr>
        <w:t>p</w:t>
      </w:r>
      <w:r w:rsidRPr="00A7676C">
        <w:rPr>
          <w:rFonts w:ascii="Times New Roman" w:eastAsia="Arial" w:hAnsi="Times New Roman" w:cs="Times New Roman"/>
          <w:color w:val="000000"/>
          <w:sz w:val="24"/>
          <w:szCs w:val="24"/>
        </w:rPr>
        <w:t xml:space="preserve"> = .198; exact </w:t>
      </w:r>
      <w:proofErr w:type="spellStart"/>
      <w:r w:rsidRPr="00A7676C">
        <w:rPr>
          <w:rFonts w:ascii="Times New Roman" w:eastAsia="Arial" w:hAnsi="Times New Roman" w:cs="Times New Roman"/>
          <w:color w:val="000000"/>
          <w:sz w:val="24"/>
          <w:szCs w:val="24"/>
        </w:rPr>
        <w:t>McNemar</w:t>
      </w:r>
      <w:proofErr w:type="spellEnd"/>
      <w:r w:rsidRPr="00A7676C">
        <w:rPr>
          <w:rFonts w:ascii="Times New Roman" w:eastAsia="Arial" w:hAnsi="Times New Roman" w:cs="Times New Roman"/>
          <w:color w:val="000000"/>
          <w:sz w:val="24"/>
          <w:szCs w:val="24"/>
        </w:rPr>
        <w:t xml:space="preserve"> </w:t>
      </w:r>
      <w:r w:rsidRPr="00A7676C">
        <w:rPr>
          <w:rFonts w:ascii="Times New Roman" w:eastAsia="Arial" w:hAnsi="Times New Roman" w:cs="Times New Roman"/>
          <w:i/>
          <w:iCs/>
          <w:color w:val="000000"/>
          <w:sz w:val="24"/>
          <w:szCs w:val="24"/>
        </w:rPr>
        <w:t>p</w:t>
      </w:r>
      <w:r w:rsidRPr="00A7676C">
        <w:rPr>
          <w:rFonts w:ascii="Times New Roman" w:eastAsia="Arial" w:hAnsi="Times New Roman" w:cs="Times New Roman"/>
          <w:color w:val="000000"/>
          <w:sz w:val="24"/>
          <w:szCs w:val="24"/>
        </w:rPr>
        <w:t xml:space="preserve"> = .125 for the planned binary comparison.</w:t>
      </w:r>
      <w:r w:rsidR="00A7676C">
        <w:rPr>
          <w:rFonts w:ascii="Times New Roman" w:eastAsia="Arial" w:hAnsi="Times New Roman" w:cs="Times New Roman"/>
          <w:color w:val="000000"/>
          <w:sz w:val="24"/>
          <w:szCs w:val="24"/>
        </w:rPr>
        <w:t xml:space="preserve"> </w:t>
      </w:r>
      <w:r w:rsidRPr="00A7676C">
        <w:rPr>
          <w:rFonts w:ascii="Times New Roman" w:eastAsia="Arial" w:hAnsi="Times New Roman" w:cs="Times New Roman"/>
          <w:color w:val="000000"/>
          <w:sz w:val="24"/>
          <w:szCs w:val="24"/>
        </w:rPr>
        <w:t>File generated by the script: outputs/Pilot1/figures/Pilot1_open_responses_with_across_cues.pdf</w:t>
      </w:r>
    </w:p>
    <w:p w14:paraId="744F7489" w14:textId="438D7BF5" w:rsidR="00326B1C" w:rsidRPr="00A7676C" w:rsidRDefault="00096BB3" w:rsidP="00C50D06">
      <w:pPr>
        <w:spacing w:before="280" w:after="280" w:line="360" w:lineRule="auto"/>
        <w:rPr>
          <w:rFonts w:ascii="Times New Roman" w:eastAsia="Arial" w:hAnsi="Times New Roman" w:cs="Times New Roman"/>
          <w:b/>
          <w:bCs/>
          <w:sz w:val="24"/>
          <w:szCs w:val="24"/>
        </w:rPr>
      </w:pPr>
      <w:r w:rsidRPr="00A7676C">
        <w:rPr>
          <w:rFonts w:ascii="Times New Roman" w:eastAsia="Arial" w:hAnsi="Times New Roman" w:cs="Times New Roman"/>
          <w:b/>
          <w:bCs/>
          <w:sz w:val="24"/>
          <w:szCs w:val="24"/>
        </w:rPr>
        <w:t xml:space="preserve">Pilot 2: </w:t>
      </w:r>
      <w:r w:rsidR="008A3A92">
        <w:rPr>
          <w:rFonts w:ascii="Times New Roman" w:eastAsia="Arial" w:hAnsi="Times New Roman" w:cs="Times New Roman"/>
          <w:b/>
          <w:bCs/>
          <w:sz w:val="24"/>
          <w:szCs w:val="24"/>
        </w:rPr>
        <w:t xml:space="preserve">Comparison of the </w:t>
      </w:r>
      <w:r w:rsidRPr="00A7676C">
        <w:rPr>
          <w:rFonts w:ascii="Times New Roman" w:eastAsia="Arial" w:hAnsi="Times New Roman" w:cs="Times New Roman"/>
          <w:b/>
          <w:bCs/>
          <w:sz w:val="24"/>
          <w:szCs w:val="24"/>
        </w:rPr>
        <w:t xml:space="preserve">Olfactory Pod </w:t>
      </w:r>
      <w:r w:rsidR="008A3A92">
        <w:rPr>
          <w:rFonts w:ascii="Times New Roman" w:eastAsia="Arial" w:hAnsi="Times New Roman" w:cs="Times New Roman"/>
          <w:b/>
          <w:bCs/>
          <w:sz w:val="24"/>
          <w:szCs w:val="24"/>
        </w:rPr>
        <w:t xml:space="preserve">(Experimental condition) </w:t>
      </w:r>
      <w:r w:rsidRPr="00A7676C">
        <w:rPr>
          <w:rFonts w:ascii="Times New Roman" w:eastAsia="Arial" w:hAnsi="Times New Roman" w:cs="Times New Roman"/>
          <w:b/>
          <w:bCs/>
          <w:sz w:val="24"/>
          <w:szCs w:val="24"/>
        </w:rPr>
        <w:t xml:space="preserve">versus </w:t>
      </w:r>
      <w:r w:rsidR="00032C0B">
        <w:rPr>
          <w:rFonts w:ascii="Times New Roman" w:eastAsia="Arial" w:hAnsi="Times New Roman" w:cs="Times New Roman"/>
          <w:b/>
          <w:bCs/>
          <w:sz w:val="24"/>
          <w:szCs w:val="24"/>
        </w:rPr>
        <w:t>No Olfactory Pod</w:t>
      </w:r>
      <w:r w:rsidR="00032C0B" w:rsidRPr="00A7676C">
        <w:rPr>
          <w:rFonts w:ascii="Times New Roman" w:eastAsia="Arial" w:hAnsi="Times New Roman" w:cs="Times New Roman"/>
          <w:b/>
          <w:bCs/>
          <w:sz w:val="24"/>
          <w:szCs w:val="24"/>
        </w:rPr>
        <w:t xml:space="preserve"> </w:t>
      </w:r>
      <w:r w:rsidR="008A3A92">
        <w:rPr>
          <w:rFonts w:ascii="Times New Roman" w:eastAsia="Arial" w:hAnsi="Times New Roman" w:cs="Times New Roman"/>
          <w:b/>
          <w:bCs/>
          <w:sz w:val="24"/>
          <w:szCs w:val="24"/>
        </w:rPr>
        <w:t>(</w:t>
      </w:r>
      <w:r w:rsidRPr="00A7676C">
        <w:rPr>
          <w:rFonts w:ascii="Times New Roman" w:eastAsia="Arial" w:hAnsi="Times New Roman" w:cs="Times New Roman"/>
          <w:b/>
          <w:bCs/>
          <w:sz w:val="24"/>
          <w:szCs w:val="24"/>
        </w:rPr>
        <w:t>Control</w:t>
      </w:r>
      <w:r w:rsidR="008A3A92">
        <w:rPr>
          <w:rFonts w:ascii="Times New Roman" w:eastAsia="Arial" w:hAnsi="Times New Roman" w:cs="Times New Roman"/>
          <w:b/>
          <w:bCs/>
          <w:sz w:val="24"/>
          <w:szCs w:val="24"/>
        </w:rPr>
        <w:t xml:space="preserve"> condition)</w:t>
      </w:r>
      <w:r w:rsidRPr="00A7676C">
        <w:rPr>
          <w:rFonts w:ascii="Times New Roman" w:eastAsia="Arial" w:hAnsi="Times New Roman" w:cs="Times New Roman"/>
          <w:b/>
          <w:bCs/>
          <w:sz w:val="24"/>
          <w:szCs w:val="24"/>
        </w:rPr>
        <w:t xml:space="preserve"> </w:t>
      </w:r>
    </w:p>
    <w:p w14:paraId="4680BF09" w14:textId="41429068" w:rsidR="002C18D3" w:rsidRPr="00FB259E" w:rsidRDefault="00C50D06" w:rsidP="00C50D06">
      <w:pPr>
        <w:pStyle w:val="NormaleWeb"/>
        <w:spacing w:line="360" w:lineRule="auto"/>
        <w:rPr>
          <w:lang w:val="en-GB"/>
        </w:rPr>
      </w:pPr>
      <w:r w:rsidRPr="00FB259E">
        <w:rPr>
          <w:lang w:val="en-GB"/>
        </w:rPr>
        <w:t xml:space="preserve">Fifty-four volunteers were recruited; seven were excluded before analysis, yielding a final sample of 47 participants (24 women, 23 men; </w:t>
      </w:r>
      <w:r w:rsidRPr="00FB259E">
        <w:rPr>
          <w:rStyle w:val="Enfasicorsivo"/>
          <w:lang w:val="en-GB"/>
        </w:rPr>
        <w:t>M</w:t>
      </w:r>
      <w:r w:rsidRPr="00FB259E">
        <w:rPr>
          <w:lang w:val="en-GB"/>
        </w:rPr>
        <w:t xml:space="preserve">age = 22.79 years, </w:t>
      </w:r>
      <w:r w:rsidRPr="00FB259E">
        <w:rPr>
          <w:rStyle w:val="Enfasicorsivo"/>
          <w:lang w:val="en-GB"/>
        </w:rPr>
        <w:t>SD</w:t>
      </w:r>
      <w:r w:rsidRPr="00FB259E">
        <w:rPr>
          <w:lang w:val="en-GB"/>
        </w:rPr>
        <w:t xml:space="preserve"> = 3.26, range 18.9–35.3). Participants were screened for olfactory and gastrointestinal disorders, and were asked to abstain from food, drink and smoking for three hours before the session. All participants were adults and </w:t>
      </w:r>
      <w:r w:rsidRPr="00FB259E">
        <w:rPr>
          <w:lang w:val="en-GB"/>
        </w:rPr>
        <w:lastRenderedPageBreak/>
        <w:t>provided written informed consent. The study was approved by the Ethics Committee for Transdisciplinary Research (CERT) of Sapienza University of Rome (protocol 189/2024, approved 17 June 2024) and was conducted in accordance with the Declaration of Helsinki.</w:t>
      </w:r>
      <w:r>
        <w:rPr>
          <w:lang w:val="en-GB"/>
        </w:rPr>
        <w:t xml:space="preserve"> </w:t>
      </w:r>
      <w:r w:rsidR="00096BB3" w:rsidRPr="0098738E">
        <w:rPr>
          <w:rFonts w:eastAsia="Arial"/>
          <w:lang w:val="en-GB"/>
        </w:rPr>
        <w:t>Pilot 2 (</w:t>
      </w:r>
      <w:r w:rsidR="00096BB3" w:rsidRPr="0098738E">
        <w:rPr>
          <w:rFonts w:eastAsia="Arial"/>
          <w:i/>
          <w:iCs/>
          <w:lang w:val="en-GB"/>
        </w:rPr>
        <w:t>N</w:t>
      </w:r>
      <w:r w:rsidR="00096BB3" w:rsidRPr="0098738E">
        <w:rPr>
          <w:rFonts w:eastAsia="Arial"/>
          <w:lang w:val="en-GB"/>
        </w:rPr>
        <w:t xml:space="preserve"> = 47) tested the critical contrast between the Olfactory Pod and </w:t>
      </w:r>
      <w:r w:rsidR="00032C0B" w:rsidRPr="0098738E">
        <w:rPr>
          <w:rFonts w:eastAsia="Arial"/>
          <w:lang w:val="en-GB"/>
        </w:rPr>
        <w:t>No Olfactory Pod</w:t>
      </w:r>
      <w:r w:rsidR="00096BB3" w:rsidRPr="0098738E">
        <w:rPr>
          <w:rFonts w:eastAsia="Arial"/>
          <w:lang w:val="en-GB"/>
        </w:rPr>
        <w:t xml:space="preserve"> conditions. </w:t>
      </w:r>
      <w:r w:rsidR="002C18D3" w:rsidRPr="002C18D3">
        <w:rPr>
          <w:rFonts w:eastAsia="Arial"/>
          <w:lang w:val="en-GB"/>
        </w:rPr>
        <w:t xml:space="preserve">Pilot 2 used a peach-flavoured pod, as the two pods tested in Pilot 1 had been discontinued by the manufacturer. </w:t>
      </w:r>
      <w:r w:rsidR="002C18D3">
        <w:rPr>
          <w:lang w:val="en-GB"/>
        </w:rPr>
        <w:t>S</w:t>
      </w:r>
      <w:r w:rsidR="002C18D3" w:rsidRPr="002C18D3">
        <w:rPr>
          <w:lang w:val="en-GB"/>
        </w:rPr>
        <w:t>ince Pilot 1 had shown that the two candidate cues produced comparable effects, the specific identity of the cue was not critical for the contrast tested here.</w:t>
      </w:r>
      <w:r w:rsidR="00FB259E">
        <w:rPr>
          <w:lang w:val="en-GB"/>
        </w:rPr>
        <w:t xml:space="preserve"> </w:t>
      </w:r>
    </w:p>
    <w:p w14:paraId="7E030664" w14:textId="1FDDFCF8" w:rsid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Participants consumed 200 ml of plain water in both conditions, allowing the effects of the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olfactory cue to be examined while actual intake and the physical and nutritional properties of the ingested liquid remained constant.</w:t>
      </w:r>
      <w:r w:rsidR="00C8551B">
        <w:rPr>
          <w:rFonts w:ascii="Times New Roman" w:eastAsia="Arial" w:hAnsi="Times New Roman" w:cs="Times New Roman"/>
          <w:sz w:val="24"/>
          <w:szCs w:val="24"/>
        </w:rPr>
        <w:t xml:space="preserve"> </w:t>
      </w:r>
      <w:r w:rsidR="00C8551B" w:rsidRPr="00C8551B">
        <w:rPr>
          <w:rFonts w:ascii="Times New Roman" w:eastAsia="Arial" w:hAnsi="Times New Roman" w:cs="Times New Roman"/>
          <w:sz w:val="24"/>
          <w:szCs w:val="24"/>
        </w:rPr>
        <w:t xml:space="preserve">At the end of the session, participants completed three individual-difference measures. Olfactory identification ability was assessed with </w:t>
      </w:r>
      <w:r w:rsidR="00EA58F2" w:rsidRPr="00EA58F2">
        <w:rPr>
          <w:rFonts w:ascii="Times New Roman" w:eastAsia="Arial" w:hAnsi="Times New Roman" w:cs="Times New Roman"/>
          <w:sz w:val="24"/>
          <w:szCs w:val="24"/>
        </w:rPr>
        <w:t xml:space="preserve">the 12-item </w:t>
      </w:r>
      <w:proofErr w:type="spellStart"/>
      <w:r w:rsidR="00EA58F2" w:rsidRPr="00EA58F2">
        <w:rPr>
          <w:rFonts w:ascii="Times New Roman" w:eastAsia="Arial" w:hAnsi="Times New Roman" w:cs="Times New Roman"/>
          <w:sz w:val="24"/>
          <w:szCs w:val="24"/>
        </w:rPr>
        <w:t>Sniffin</w:t>
      </w:r>
      <w:proofErr w:type="spellEnd"/>
      <w:r w:rsidR="00EA58F2" w:rsidRPr="00EA58F2">
        <w:rPr>
          <w:rFonts w:ascii="Times New Roman" w:eastAsia="Arial" w:hAnsi="Times New Roman" w:cs="Times New Roman"/>
          <w:sz w:val="24"/>
          <w:szCs w:val="24"/>
        </w:rPr>
        <w:t>' Sticks identification test (SST-12; Hummel et al., 2001), scored as the number of correctly identified odours (range 0–12).</w:t>
      </w:r>
      <w:r w:rsidR="00EA58F2">
        <w:rPr>
          <w:rFonts w:ascii="Times New Roman" w:eastAsia="Arial" w:hAnsi="Times New Roman" w:cs="Times New Roman"/>
          <w:sz w:val="24"/>
          <w:szCs w:val="24"/>
        </w:rPr>
        <w:t xml:space="preserve"> </w:t>
      </w:r>
      <w:r w:rsidR="00C8551B" w:rsidRPr="00C8551B">
        <w:rPr>
          <w:rFonts w:ascii="Times New Roman" w:eastAsia="Arial" w:hAnsi="Times New Roman" w:cs="Times New Roman"/>
          <w:sz w:val="24"/>
          <w:szCs w:val="24"/>
        </w:rPr>
        <w:t xml:space="preserve">Self-reported interoceptive awareness was assessed with the Multidimensional Assessment of Interoceptive Awareness (MAIA; </w:t>
      </w:r>
      <w:proofErr w:type="spellStart"/>
      <w:r w:rsidR="00C8551B" w:rsidRPr="00C8551B">
        <w:rPr>
          <w:rFonts w:ascii="Times New Roman" w:eastAsia="Arial" w:hAnsi="Times New Roman" w:cs="Times New Roman"/>
          <w:sz w:val="24"/>
          <w:szCs w:val="24"/>
        </w:rPr>
        <w:t>Mehling</w:t>
      </w:r>
      <w:proofErr w:type="spellEnd"/>
      <w:r w:rsidR="00C8551B" w:rsidRPr="00C8551B">
        <w:rPr>
          <w:rFonts w:ascii="Times New Roman" w:eastAsia="Arial" w:hAnsi="Times New Roman" w:cs="Times New Roman"/>
          <w:sz w:val="24"/>
          <w:szCs w:val="24"/>
        </w:rPr>
        <w:t xml:space="preserve"> et al., 2012), a 32-item questionnaire yielding eight subscales that index distinct dimensions of interoceptive attention and regulation. Trait absorption, that is, the disposition to become perceptually and imaginatively immersed in an experience, was assessed with the </w:t>
      </w:r>
      <w:proofErr w:type="spellStart"/>
      <w:r w:rsidR="00C8551B" w:rsidRPr="00C8551B">
        <w:rPr>
          <w:rFonts w:ascii="Times New Roman" w:eastAsia="Arial" w:hAnsi="Times New Roman" w:cs="Times New Roman"/>
          <w:sz w:val="24"/>
          <w:szCs w:val="24"/>
        </w:rPr>
        <w:t>Tellegen</w:t>
      </w:r>
      <w:proofErr w:type="spellEnd"/>
      <w:r w:rsidR="00C8551B" w:rsidRPr="00C8551B">
        <w:rPr>
          <w:rFonts w:ascii="Times New Roman" w:eastAsia="Arial" w:hAnsi="Times New Roman" w:cs="Times New Roman"/>
          <w:sz w:val="24"/>
          <w:szCs w:val="24"/>
        </w:rPr>
        <w:t xml:space="preserve"> Absorption Scale (TAS; </w:t>
      </w:r>
      <w:proofErr w:type="spellStart"/>
      <w:r w:rsidR="00C8551B" w:rsidRPr="00C8551B">
        <w:rPr>
          <w:rFonts w:ascii="Times New Roman" w:eastAsia="Arial" w:hAnsi="Times New Roman" w:cs="Times New Roman"/>
          <w:sz w:val="24"/>
          <w:szCs w:val="24"/>
        </w:rPr>
        <w:t>Tellegen</w:t>
      </w:r>
      <w:proofErr w:type="spellEnd"/>
      <w:r w:rsidR="00C8551B" w:rsidRPr="00C8551B">
        <w:rPr>
          <w:rFonts w:ascii="Times New Roman" w:eastAsia="Arial" w:hAnsi="Times New Roman" w:cs="Times New Roman"/>
          <w:sz w:val="24"/>
          <w:szCs w:val="24"/>
        </w:rPr>
        <w:t xml:space="preserve"> &amp; Atkinson, 1974), a 34-item true/false measure yielding a total absorption score. These measures were included as exploratory moderators, on the assumption that sensitivity to internal bodily signals and openness to absorbing experiences might modulate the extent to which an olfactory cue reshapes the perceived properties of an ingested liquid.</w:t>
      </w:r>
    </w:p>
    <w:p w14:paraId="744F748B" w14:textId="200305E7"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Perceived nutritional content showed a significant Condition × Nutritional Property interaction, </w:t>
      </w:r>
      <w:proofErr w:type="gramStart"/>
      <w:r w:rsidR="00835552" w:rsidRPr="00B40B7A">
        <w:rPr>
          <w:rFonts w:ascii="Times New Roman" w:eastAsia="Arial" w:hAnsi="Times New Roman" w:cs="Times New Roman"/>
          <w:i/>
          <w:sz w:val="24"/>
          <w:szCs w:val="24"/>
        </w:rPr>
        <w:t>F</w:t>
      </w:r>
      <w:r w:rsidR="00835552" w:rsidRPr="00835552">
        <w:rPr>
          <w:rFonts w:ascii="Times New Roman" w:eastAsia="Arial" w:hAnsi="Times New Roman" w:cs="Times New Roman"/>
          <w:sz w:val="24"/>
          <w:szCs w:val="24"/>
        </w:rPr>
        <w:t>(</w:t>
      </w:r>
      <w:proofErr w:type="gramEnd"/>
      <w:r w:rsidR="00835552" w:rsidRPr="00835552">
        <w:rPr>
          <w:rFonts w:ascii="Times New Roman" w:eastAsia="Arial" w:hAnsi="Times New Roman" w:cs="Times New Roman"/>
          <w:sz w:val="24"/>
          <w:szCs w:val="24"/>
        </w:rPr>
        <w:t xml:space="preserve">2, 92) = 47.49, </w:t>
      </w:r>
      <w:r w:rsidR="00835552" w:rsidRPr="00B40B7A">
        <w:rPr>
          <w:rFonts w:ascii="Times New Roman" w:eastAsia="Arial" w:hAnsi="Times New Roman" w:cs="Times New Roman"/>
          <w:i/>
          <w:sz w:val="24"/>
          <w:szCs w:val="24"/>
        </w:rPr>
        <w:t>p</w:t>
      </w:r>
      <w:r w:rsidR="00835552" w:rsidRPr="00835552">
        <w:rPr>
          <w:rFonts w:ascii="Times New Roman" w:eastAsia="Arial" w:hAnsi="Times New Roman" w:cs="Times New Roman"/>
          <w:sz w:val="24"/>
          <w:szCs w:val="24"/>
        </w:rPr>
        <w:t xml:space="preserve"> </w:t>
      </w:r>
      <w:r w:rsidR="00B40B7A" w:rsidRPr="00B40B7A">
        <w:rPr>
          <w:rFonts w:ascii="Times New Roman" w:eastAsia="Arial" w:hAnsi="Times New Roman" w:cs="Times New Roman"/>
          <w:sz w:val="24"/>
          <w:szCs w:val="24"/>
        </w:rPr>
        <w:t>&lt; .001.</w:t>
      </w:r>
      <w:r w:rsidR="00B40B7A">
        <w:rPr>
          <w:rFonts w:ascii="Times New Roman" w:eastAsia="Arial" w:hAnsi="Times New Roman" w:cs="Times New Roman"/>
          <w:sz w:val="24"/>
          <w:szCs w:val="24"/>
        </w:rPr>
        <w:t xml:space="preserve"> </w:t>
      </w:r>
      <w:r w:rsidRPr="00A7676C">
        <w:rPr>
          <w:rFonts w:ascii="Times New Roman" w:eastAsia="Arial" w:hAnsi="Times New Roman" w:cs="Times New Roman"/>
          <w:sz w:val="24"/>
          <w:szCs w:val="24"/>
        </w:rPr>
        <w:t xml:space="preserve">Planned ART-C comparisons confirmed that the Olfactory Pod increased attributed fat, calories and sugar relative to </w:t>
      </w:r>
      <w:r w:rsidR="00032C0B">
        <w:rPr>
          <w:rFonts w:ascii="Times New Roman" w:eastAsia="Arial" w:hAnsi="Times New Roman" w:cs="Times New Roman"/>
          <w:sz w:val="24"/>
          <w:szCs w:val="24"/>
        </w:rPr>
        <w:t>No Olfactory Pod</w:t>
      </w:r>
      <w:r w:rsidRPr="00A7676C">
        <w:rPr>
          <w:rFonts w:ascii="Times New Roman" w:eastAsia="Arial" w:hAnsi="Times New Roman" w:cs="Times New Roman"/>
          <w:sz w:val="24"/>
          <w:szCs w:val="24"/>
        </w:rPr>
        <w:t xml:space="preserve">, with all comparisons surviving Holm correction, all </w:t>
      </w:r>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Holm</w:t>
      </w:r>
      <w:proofErr w:type="spellEnd"/>
      <w:r w:rsidRPr="00A7676C">
        <w:rPr>
          <w:rFonts w:ascii="Times New Roman" w:eastAsia="Arial" w:hAnsi="Times New Roman" w:cs="Times New Roman"/>
          <w:sz w:val="24"/>
          <w:szCs w:val="24"/>
        </w:rPr>
        <w:t xml:space="preserve"> &lt; .001. Pod-related changes across the three nutritional dimensions were positively associated, with pairwise Pearson correlations ranging from </w:t>
      </w:r>
      <w:r w:rsidRPr="00A7676C">
        <w:rPr>
          <w:rFonts w:ascii="Times New Roman" w:eastAsia="Arial" w:hAnsi="Times New Roman" w:cs="Times New Roman"/>
          <w:i/>
          <w:iCs/>
          <w:sz w:val="24"/>
          <w:szCs w:val="24"/>
        </w:rPr>
        <w:t>r</w:t>
      </w:r>
      <w:r w:rsidRPr="00A7676C">
        <w:rPr>
          <w:rFonts w:ascii="Times New Roman" w:eastAsia="Arial" w:hAnsi="Times New Roman" w:cs="Times New Roman"/>
          <w:sz w:val="24"/>
          <w:szCs w:val="24"/>
        </w:rPr>
        <w:t xml:space="preserve"> = .481 to .739 and standardized α = .816, indicating coherent pod-induced nutritional effects.</w:t>
      </w:r>
    </w:p>
    <w:p w14:paraId="744F748C" w14:textId="04958F1F"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Taste ratings also showed a significant Condition × Taste interaction, </w:t>
      </w:r>
      <w:proofErr w:type="gramStart"/>
      <w:r w:rsidRPr="00A7676C">
        <w:rPr>
          <w:rFonts w:ascii="Times New Roman" w:eastAsia="Arial" w:hAnsi="Times New Roman" w:cs="Times New Roman"/>
          <w:i/>
          <w:iCs/>
          <w:sz w:val="24"/>
          <w:szCs w:val="24"/>
        </w:rPr>
        <w:t>F</w:t>
      </w:r>
      <w:r w:rsidRPr="00A7676C">
        <w:rPr>
          <w:rFonts w:ascii="Times New Roman" w:eastAsia="Arial" w:hAnsi="Times New Roman" w:cs="Times New Roman"/>
          <w:sz w:val="24"/>
          <w:szCs w:val="24"/>
        </w:rPr>
        <w:t>(</w:t>
      </w:r>
      <w:proofErr w:type="gramEnd"/>
      <w:r w:rsidRPr="00A7676C">
        <w:rPr>
          <w:rFonts w:ascii="Times New Roman" w:eastAsia="Arial" w:hAnsi="Times New Roman" w:cs="Times New Roman"/>
          <w:sz w:val="24"/>
          <w:szCs w:val="24"/>
        </w:rPr>
        <w:t xml:space="preserve">3, 138) = 82.25,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Relative to </w:t>
      </w:r>
      <w:r w:rsidR="00032C0B">
        <w:rPr>
          <w:rFonts w:ascii="Times New Roman" w:eastAsia="Arial" w:hAnsi="Times New Roman" w:cs="Times New Roman"/>
          <w:sz w:val="24"/>
          <w:szCs w:val="24"/>
        </w:rPr>
        <w:t>No Olfactory Pod</w:t>
      </w:r>
      <w:r w:rsidRPr="00A7676C">
        <w:rPr>
          <w:rFonts w:ascii="Times New Roman" w:eastAsia="Arial" w:hAnsi="Times New Roman" w:cs="Times New Roman"/>
          <w:sz w:val="24"/>
          <w:szCs w:val="24"/>
        </w:rPr>
        <w:t xml:space="preserve">, the Olfactory Pod increased perceived sweetness, sourness and bitterness, with all three comparisons surviving false-discovery-rate correction, all </w:t>
      </w:r>
      <w:proofErr w:type="spellStart"/>
      <w:r w:rsidRPr="00A7676C">
        <w:rPr>
          <w:rFonts w:ascii="Times New Roman" w:eastAsia="Arial" w:hAnsi="Times New Roman" w:cs="Times New Roman"/>
          <w:i/>
          <w:iCs/>
          <w:sz w:val="24"/>
          <w:szCs w:val="24"/>
        </w:rPr>
        <w:t>p</w:t>
      </w:r>
      <w:sdt>
        <w:sdtPr>
          <w:rPr>
            <w:rFonts w:ascii="Times New Roman" w:hAnsi="Times New Roman" w:cs="Times New Roman"/>
          </w:rPr>
          <w:tag w:val="goog_rdk_0"/>
          <w:id w:val="-649161688"/>
        </w:sdtPr>
        <w:sdtEndPr/>
        <w:sdtContent>
          <w:r w:rsidRPr="00A7676C">
            <w:rPr>
              <w:rFonts w:ascii="Times New Roman" w:eastAsia="Arial Unicode MS" w:hAnsi="Times New Roman" w:cs="Times New Roman"/>
              <w:sz w:val="24"/>
              <w:szCs w:val="24"/>
            </w:rPr>
            <w:t>FDR</w:t>
          </w:r>
          <w:proofErr w:type="spellEnd"/>
          <w:r w:rsidRPr="00A7676C">
            <w:rPr>
              <w:rFonts w:ascii="Times New Roman" w:eastAsia="Arial Unicode MS" w:hAnsi="Times New Roman" w:cs="Times New Roman"/>
              <w:sz w:val="24"/>
              <w:szCs w:val="24"/>
            </w:rPr>
            <w:t xml:space="preserve"> ≤ .011. Perceived saltiness did not differ between conditions, </w:t>
          </w:r>
        </w:sdtContent>
      </w:sdt>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FDR</w:t>
      </w:r>
      <w:proofErr w:type="spellEnd"/>
      <w:r w:rsidRPr="00A7676C">
        <w:rPr>
          <w:rFonts w:ascii="Times New Roman" w:eastAsia="Arial" w:hAnsi="Times New Roman" w:cs="Times New Roman"/>
          <w:sz w:val="24"/>
          <w:szCs w:val="24"/>
        </w:rPr>
        <w:t xml:space="preserve"> = .900. </w:t>
      </w:r>
    </w:p>
    <w:p w14:paraId="744F748D" w14:textId="7D832BC2"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lastRenderedPageBreak/>
        <w:t>The effects of the Olfactory Pod on nutritional attribution and perceived taste profile are shown in Figure S3A</w:t>
      </w:r>
      <w:r w:rsidR="00A7676C">
        <w:rPr>
          <w:rFonts w:ascii="Times New Roman" w:eastAsia="Arial" w:hAnsi="Times New Roman" w:cs="Times New Roman"/>
          <w:sz w:val="24"/>
          <w:szCs w:val="24"/>
        </w:rPr>
        <w:t>-</w:t>
      </w:r>
      <w:r w:rsidRPr="00A7676C">
        <w:rPr>
          <w:rFonts w:ascii="Times New Roman" w:eastAsia="Arial" w:hAnsi="Times New Roman" w:cs="Times New Roman"/>
          <w:sz w:val="24"/>
          <w:szCs w:val="24"/>
        </w:rPr>
        <w:t>B.</w:t>
      </w:r>
    </w:p>
    <w:p w14:paraId="744F748E" w14:textId="0EB2C877"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An exploratory multiple regression tested whether pod-related changes in sweetness, saltiness, sourness</w:t>
      </w:r>
      <w:r w:rsidR="00B40B7A">
        <w:rPr>
          <w:rFonts w:ascii="Times New Roman" w:eastAsia="Arial" w:hAnsi="Times New Roman" w:cs="Times New Roman"/>
          <w:sz w:val="24"/>
          <w:szCs w:val="24"/>
        </w:rPr>
        <w:t>,</w:t>
      </w:r>
      <w:r w:rsidRPr="00A7676C">
        <w:rPr>
          <w:rFonts w:ascii="Times New Roman" w:eastAsia="Arial" w:hAnsi="Times New Roman" w:cs="Times New Roman"/>
          <w:sz w:val="24"/>
          <w:szCs w:val="24"/>
        </w:rPr>
        <w:t xml:space="preserve"> and bitterness predicted a composite nutritional-attribution index. The full taste-modulation model explained 38.1% of the variance in this index, </w:t>
      </w:r>
      <w:r w:rsidRPr="00A7676C">
        <w:rPr>
          <w:rFonts w:ascii="Times New Roman" w:eastAsia="Arial" w:hAnsi="Times New Roman" w:cs="Times New Roman"/>
          <w:i/>
          <w:iCs/>
          <w:sz w:val="24"/>
          <w:szCs w:val="24"/>
        </w:rPr>
        <w:t>R</w:t>
      </w:r>
      <w:r w:rsidRPr="00A7676C">
        <w:rPr>
          <w:rFonts w:ascii="Times New Roman" w:eastAsia="Arial" w:hAnsi="Times New Roman" w:cs="Times New Roman"/>
          <w:sz w:val="24"/>
          <w:szCs w:val="24"/>
        </w:rPr>
        <w:t xml:space="preserve">² = .381, </w:t>
      </w:r>
      <w:proofErr w:type="gramStart"/>
      <w:r w:rsidRPr="00A7676C">
        <w:rPr>
          <w:rFonts w:ascii="Times New Roman" w:eastAsia="Arial" w:hAnsi="Times New Roman" w:cs="Times New Roman"/>
          <w:i/>
          <w:iCs/>
          <w:sz w:val="24"/>
          <w:szCs w:val="24"/>
        </w:rPr>
        <w:t>F</w:t>
      </w:r>
      <w:r w:rsidRPr="00A7676C">
        <w:rPr>
          <w:rFonts w:ascii="Times New Roman" w:eastAsia="Arial" w:hAnsi="Times New Roman" w:cs="Times New Roman"/>
          <w:sz w:val="24"/>
          <w:szCs w:val="24"/>
        </w:rPr>
        <w:t>(</w:t>
      </w:r>
      <w:proofErr w:type="gramEnd"/>
      <w:r w:rsidRPr="00A7676C">
        <w:rPr>
          <w:rFonts w:ascii="Times New Roman" w:eastAsia="Arial" w:hAnsi="Times New Roman" w:cs="Times New Roman"/>
          <w:sz w:val="24"/>
          <w:szCs w:val="24"/>
        </w:rPr>
        <w:t xml:space="preserve">4, 42) = 6.46,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Sweetness,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.019, </w:t>
      </w:r>
      <w:r w:rsidRPr="00A7676C">
        <w:rPr>
          <w:rFonts w:ascii="Times New Roman" w:eastAsia="Arial" w:hAnsi="Times New Roman" w:cs="Times New Roman"/>
          <w:i/>
          <w:iCs/>
          <w:sz w:val="24"/>
          <w:szCs w:val="24"/>
        </w:rPr>
        <w:t>t</w:t>
      </w:r>
      <w:r w:rsidRPr="00A7676C">
        <w:rPr>
          <w:rFonts w:ascii="Times New Roman" w:eastAsia="Arial" w:hAnsi="Times New Roman" w:cs="Times New Roman"/>
          <w:sz w:val="24"/>
          <w:szCs w:val="24"/>
        </w:rPr>
        <w:t xml:space="preserve"> = 4.23,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and </w:t>
      </w:r>
      <w:r w:rsidR="00474D37">
        <w:rPr>
          <w:rFonts w:ascii="Times New Roman" w:eastAsia="Arial" w:hAnsi="Times New Roman" w:cs="Times New Roman"/>
          <w:sz w:val="24"/>
          <w:szCs w:val="24"/>
        </w:rPr>
        <w:t>B</w:t>
      </w:r>
      <w:r w:rsidRPr="00A7676C">
        <w:rPr>
          <w:rFonts w:ascii="Times New Roman" w:eastAsia="Arial" w:hAnsi="Times New Roman" w:cs="Times New Roman"/>
          <w:sz w:val="24"/>
          <w:szCs w:val="24"/>
        </w:rPr>
        <w:t xml:space="preserve">itterness,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.030, </w:t>
      </w:r>
      <w:r w:rsidRPr="00A7676C">
        <w:rPr>
          <w:rFonts w:ascii="Times New Roman" w:eastAsia="Arial" w:hAnsi="Times New Roman" w:cs="Times New Roman"/>
          <w:i/>
          <w:iCs/>
          <w:sz w:val="24"/>
          <w:szCs w:val="24"/>
        </w:rPr>
        <w:t>t</w:t>
      </w:r>
      <w:r w:rsidRPr="00A7676C">
        <w:rPr>
          <w:rFonts w:ascii="Times New Roman" w:eastAsia="Arial" w:hAnsi="Times New Roman" w:cs="Times New Roman"/>
          <w:sz w:val="24"/>
          <w:szCs w:val="24"/>
        </w:rPr>
        <w:t xml:space="preserve"> = 2.24,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.031, emerged as significant predictors, whereas </w:t>
      </w:r>
      <w:r w:rsidR="00474D37">
        <w:rPr>
          <w:rFonts w:ascii="Times New Roman" w:eastAsia="Arial" w:hAnsi="Times New Roman" w:cs="Times New Roman"/>
          <w:sz w:val="24"/>
          <w:szCs w:val="24"/>
        </w:rPr>
        <w:t>S</w:t>
      </w:r>
      <w:r w:rsidRPr="00A7676C">
        <w:rPr>
          <w:rFonts w:ascii="Times New Roman" w:eastAsia="Arial" w:hAnsi="Times New Roman" w:cs="Times New Roman"/>
          <w:sz w:val="24"/>
          <w:szCs w:val="24"/>
        </w:rPr>
        <w:t xml:space="preserve">altiness and </w:t>
      </w:r>
      <w:r w:rsidR="00474D37">
        <w:rPr>
          <w:rFonts w:ascii="Times New Roman" w:eastAsia="Arial" w:hAnsi="Times New Roman" w:cs="Times New Roman"/>
          <w:sz w:val="24"/>
          <w:szCs w:val="24"/>
        </w:rPr>
        <w:t>S</w:t>
      </w:r>
      <w:r w:rsidRPr="00A7676C">
        <w:rPr>
          <w:rFonts w:ascii="Times New Roman" w:eastAsia="Arial" w:hAnsi="Times New Roman" w:cs="Times New Roman"/>
          <w:sz w:val="24"/>
          <w:szCs w:val="24"/>
        </w:rPr>
        <w:t>ourness did not.</w:t>
      </w:r>
    </w:p>
    <w:p w14:paraId="744F748F" w14:textId="603BC02A"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When the nutritional dimensions were examined separately, sweetness predicted pod-related changes in perceived fat,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.231,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.009, calories,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.322,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.003, and sugar,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.526,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Bitterness selectively predicted perceived fat, </w:t>
      </w:r>
      <w:r w:rsidRPr="00A7676C">
        <w:rPr>
          <w:rFonts w:ascii="Times New Roman" w:eastAsia="Arial" w:hAnsi="Times New Roman" w:cs="Times New Roman"/>
          <w:i/>
          <w:iCs/>
          <w:sz w:val="24"/>
          <w:szCs w:val="24"/>
        </w:rPr>
        <w:t>b</w:t>
      </w:r>
      <w:r w:rsidRPr="00A7676C">
        <w:rPr>
          <w:rFonts w:ascii="Times New Roman" w:eastAsia="Arial" w:hAnsi="Times New Roman" w:cs="Times New Roman"/>
          <w:sz w:val="24"/>
          <w:szCs w:val="24"/>
        </w:rPr>
        <w:t xml:space="preserve"> = .637,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.011, but not calories or sugar, both </w:t>
      </w:r>
      <w:r w:rsidRPr="00A7676C">
        <w:rPr>
          <w:rFonts w:ascii="Times New Roman" w:eastAsia="Arial" w:hAnsi="Times New Roman" w:cs="Times New Roman"/>
          <w:i/>
          <w:iCs/>
          <w:sz w:val="24"/>
          <w:szCs w:val="24"/>
        </w:rPr>
        <w:t>p</w:t>
      </w:r>
      <w:r w:rsidRPr="00A7676C">
        <w:rPr>
          <w:rFonts w:ascii="Times New Roman" w:eastAsia="Arial Unicode MS" w:hAnsi="Times New Roman" w:cs="Times New Roman"/>
          <w:sz w:val="24"/>
          <w:szCs w:val="24"/>
        </w:rPr>
        <w:t xml:space="preserve"> ≥ .124. Bootstrap 95% confidence intervals for the sweetness and bitterness coefficients in the fat model excluded zero. Although exploratory, the selective bitterness</w:t>
      </w:r>
      <w:r w:rsidR="00A7676C">
        <w:rPr>
          <w:rFonts w:ascii="Times New Roman" w:eastAsia="Arial Unicode MS" w:hAnsi="Times New Roman" w:cs="Times New Roman"/>
          <w:sz w:val="24"/>
          <w:szCs w:val="24"/>
        </w:rPr>
        <w:t>-</w:t>
      </w:r>
      <w:r w:rsidRPr="00A7676C">
        <w:rPr>
          <w:rFonts w:ascii="Times New Roman" w:eastAsia="Arial Unicode MS" w:hAnsi="Times New Roman" w:cs="Times New Roman"/>
          <w:sz w:val="24"/>
          <w:szCs w:val="24"/>
        </w:rPr>
        <w:t xml:space="preserve">fat association is consistent with previous evidence suggesting that bitter and fat sensitivity may be partially related (Graham et al., 2021; Khan et al., 2019; Mattes, 2011). </w:t>
      </w:r>
    </w:p>
    <w:p w14:paraId="744F7490" w14:textId="77777777"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The corresponding exploratory associations are visualised in Figure S4. The plotted lines represent descriptive bivariate associations, whereas the coefficients reported here and in the </w:t>
      </w:r>
      <w:proofErr w:type="gramStart"/>
      <w:r w:rsidRPr="00A7676C">
        <w:rPr>
          <w:rFonts w:ascii="Times New Roman" w:eastAsia="Arial" w:hAnsi="Times New Roman" w:cs="Times New Roman"/>
          <w:sz w:val="24"/>
          <w:szCs w:val="24"/>
        </w:rPr>
        <w:t>figure</w:t>
      </w:r>
      <w:proofErr w:type="gramEnd"/>
      <w:r w:rsidRPr="00A7676C">
        <w:rPr>
          <w:rFonts w:ascii="Times New Roman" w:eastAsia="Arial" w:hAnsi="Times New Roman" w:cs="Times New Roman"/>
          <w:sz w:val="24"/>
          <w:szCs w:val="24"/>
        </w:rPr>
        <w:t xml:space="preserve"> annotations derive from the corresponding multiple-regression models.</w:t>
      </w:r>
    </w:p>
    <w:p w14:paraId="744F7491" w14:textId="1B73F77C" w:rsidR="00326B1C" w:rsidRPr="00A7676C" w:rsidRDefault="00096BB3" w:rsidP="00C50D06">
      <w:pPr>
        <w:spacing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The pod also produced a preliminary cue-dependent distortion in estimated ingestion amount: although participants always consumed 200 ml, they estimated having consumed 31 ml less in the pod condition than in the control condition, </w:t>
      </w:r>
      <w:r w:rsidRPr="00A7676C">
        <w:rPr>
          <w:rFonts w:ascii="Times New Roman" w:eastAsia="Arial" w:hAnsi="Times New Roman" w:cs="Times New Roman"/>
          <w:i/>
          <w:iCs/>
          <w:sz w:val="24"/>
          <w:szCs w:val="24"/>
        </w:rPr>
        <w:t>t</w:t>
      </w:r>
      <w:sdt>
        <w:sdtPr>
          <w:rPr>
            <w:rFonts w:ascii="Times New Roman" w:hAnsi="Times New Roman" w:cs="Times New Roman"/>
          </w:rPr>
          <w:tag w:val="goog_rdk_2"/>
          <w:id w:val="-1076453703"/>
        </w:sdtPr>
        <w:sdtEndPr/>
        <w:sdtContent>
          <w:r w:rsidRPr="00A7676C">
            <w:rPr>
              <w:rFonts w:ascii="Times New Roman" w:eastAsia="Arial Unicode MS" w:hAnsi="Times New Roman" w:cs="Times New Roman"/>
              <w:sz w:val="24"/>
              <w:szCs w:val="24"/>
            </w:rPr>
            <w:t xml:space="preserve">(46) = −2.27, </w:t>
          </w:r>
        </w:sdtContent>
      </w:sd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.028. However, absolute estimation error relative to the actual 200 ml did not differ between conditions, Wilcoxon </w:t>
      </w:r>
      <w:r w:rsidRPr="00A7676C">
        <w:rPr>
          <w:rFonts w:ascii="Times New Roman" w:eastAsia="Arial" w:hAnsi="Times New Roman" w:cs="Times New Roman"/>
          <w:i/>
          <w:iCs/>
          <w:sz w:val="24"/>
          <w:szCs w:val="24"/>
        </w:rPr>
        <w:t>V</w:t>
      </w:r>
      <w:r w:rsidRPr="00A7676C">
        <w:rPr>
          <w:rFonts w:ascii="Times New Roman" w:eastAsia="Arial" w:hAnsi="Times New Roman" w:cs="Times New Roman"/>
          <w:sz w:val="24"/>
          <w:szCs w:val="24"/>
        </w:rPr>
        <w:t xml:space="preserve"> = 605, </w:t>
      </w:r>
      <w:r w:rsidRPr="00A7676C">
        <w:rPr>
          <w:rFonts w:ascii="Times New Roman" w:eastAsia="Arial" w:hAnsi="Times New Roman" w:cs="Times New Roman"/>
          <w:i/>
          <w:iCs/>
          <w:sz w:val="24"/>
          <w:szCs w:val="24"/>
        </w:rPr>
        <w:t>p</w:t>
      </w:r>
      <w:sdt>
        <w:sdtPr>
          <w:rPr>
            <w:rFonts w:ascii="Times New Roman" w:hAnsi="Times New Roman" w:cs="Times New Roman"/>
          </w:rPr>
          <w:tag w:val="goog_rdk_3"/>
          <w:id w:val="1926290082"/>
        </w:sdtPr>
        <w:sdtEndPr/>
        <w:sdtContent>
          <w:r w:rsidRPr="00A7676C">
            <w:rPr>
              <w:rFonts w:ascii="Times New Roman" w:eastAsia="Arial Unicode MS" w:hAnsi="Times New Roman" w:cs="Times New Roman"/>
              <w:sz w:val="24"/>
              <w:szCs w:val="24"/>
            </w:rPr>
            <w:t xml:space="preserve"> = .668, indicating that the cue shifted estimated amount without reliably changing overall estimation accuracy. This effect on ingestion was not associated with MAIA subscales (all |ρ| ≤ .203, all </w:t>
          </w:r>
        </w:sdtContent>
      </w:sdt>
      <w:r w:rsidRPr="00A7676C">
        <w:rPr>
          <w:rFonts w:ascii="Times New Roman" w:eastAsia="Arial" w:hAnsi="Times New Roman" w:cs="Times New Roman"/>
          <w:i/>
          <w:iCs/>
          <w:sz w:val="24"/>
          <w:szCs w:val="24"/>
        </w:rPr>
        <w:t>p</w:t>
      </w:r>
      <w:r w:rsidRPr="00A7676C">
        <w:rPr>
          <w:rFonts w:ascii="Times New Roman" w:eastAsia="Arial Unicode MS" w:hAnsi="Times New Roman" w:cs="Times New Roman"/>
          <w:sz w:val="24"/>
          <w:szCs w:val="24"/>
        </w:rPr>
        <w:t xml:space="preserve"> ≥ .171), TAS scores (ρ = −.237, </w:t>
      </w:r>
      <w:r w:rsidRPr="00A7676C">
        <w:rPr>
          <w:rFonts w:ascii="Times New Roman" w:eastAsia="Arial" w:hAnsi="Times New Roman" w:cs="Times New Roman"/>
          <w:i/>
          <w:iCs/>
          <w:sz w:val="24"/>
          <w:szCs w:val="24"/>
        </w:rPr>
        <w:t xml:space="preserve">p </w:t>
      </w:r>
      <w:r w:rsidRPr="00A7676C">
        <w:rPr>
          <w:rFonts w:ascii="Times New Roman" w:eastAsia="Arial" w:hAnsi="Times New Roman" w:cs="Times New Roman"/>
          <w:sz w:val="24"/>
          <w:szCs w:val="24"/>
        </w:rPr>
        <w:t>= .109), individual nutritional indices (all |</w:t>
      </w:r>
      <w:r w:rsidRPr="00A7676C">
        <w:rPr>
          <w:rFonts w:ascii="Times New Roman" w:eastAsia="Arial" w:hAnsi="Times New Roman" w:cs="Times New Roman"/>
          <w:i/>
          <w:iCs/>
          <w:sz w:val="24"/>
          <w:szCs w:val="24"/>
        </w:rPr>
        <w:t>r</w:t>
      </w:r>
      <w:sdt>
        <w:sdtPr>
          <w:rPr>
            <w:rFonts w:ascii="Times New Roman" w:hAnsi="Times New Roman" w:cs="Times New Roman"/>
          </w:rPr>
          <w:tag w:val="goog_rdk_5"/>
          <w:id w:val="1249819505"/>
        </w:sdtPr>
        <w:sdtEndPr/>
        <w:sdtContent>
          <w:r w:rsidRPr="00A7676C">
            <w:rPr>
              <w:rFonts w:ascii="Times New Roman" w:eastAsia="Arial Unicode MS" w:hAnsi="Times New Roman" w:cs="Times New Roman"/>
              <w:sz w:val="24"/>
              <w:szCs w:val="24"/>
            </w:rPr>
            <w:t xml:space="preserve">| ≤ .180, all </w:t>
          </w:r>
        </w:sdtContent>
      </w:sdt>
      <w:r w:rsidRPr="00A7676C">
        <w:rPr>
          <w:rFonts w:ascii="Times New Roman" w:eastAsia="Arial" w:hAnsi="Times New Roman" w:cs="Times New Roman"/>
          <w:i/>
          <w:iCs/>
          <w:sz w:val="24"/>
          <w:szCs w:val="24"/>
        </w:rPr>
        <w:t>p</w:t>
      </w:r>
      <w:sdt>
        <w:sdtPr>
          <w:rPr>
            <w:rFonts w:ascii="Times New Roman" w:hAnsi="Times New Roman" w:cs="Times New Roman"/>
          </w:rPr>
          <w:tag w:val="goog_rdk_6"/>
          <w:id w:val="2020514897"/>
        </w:sdtPr>
        <w:sdtEndPr/>
        <w:sdtContent>
          <w:r w:rsidRPr="00A7676C">
            <w:rPr>
              <w:rFonts w:ascii="Times New Roman" w:eastAsia="Arial Unicode MS" w:hAnsi="Times New Roman" w:cs="Times New Roman"/>
              <w:sz w:val="24"/>
              <w:szCs w:val="24"/>
            </w:rPr>
            <w:t xml:space="preserve"> ≥ .226), or the composite nutritional index, </w:t>
          </w:r>
        </w:sdtContent>
      </w:sdt>
      <w:r w:rsidRPr="00A7676C">
        <w:rPr>
          <w:rFonts w:ascii="Times New Roman" w:eastAsia="Arial" w:hAnsi="Times New Roman" w:cs="Times New Roman"/>
          <w:i/>
          <w:iCs/>
          <w:sz w:val="24"/>
          <w:szCs w:val="24"/>
        </w:rPr>
        <w:t>r</w:t>
      </w:r>
      <w:r w:rsidRPr="00A7676C">
        <w:rPr>
          <w:rFonts w:ascii="Times New Roman" w:eastAsia="Arial Unicode MS" w:hAnsi="Times New Roman" w:cs="Times New Roman"/>
          <w:sz w:val="24"/>
          <w:szCs w:val="24"/>
        </w:rPr>
        <w:t xml:space="preserve"> = .109,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.465. Finally, the pod was rated as more intense than </w:t>
      </w:r>
      <w:r w:rsidR="00254374">
        <w:rPr>
          <w:rFonts w:ascii="Times New Roman" w:eastAsia="Arial" w:hAnsi="Times New Roman" w:cs="Times New Roman"/>
          <w:sz w:val="24"/>
          <w:szCs w:val="24"/>
        </w:rPr>
        <w:t>No Olfactory Pod</w:t>
      </w:r>
      <w:r w:rsidRPr="00A7676C">
        <w:rPr>
          <w:rFonts w:ascii="Times New Roman" w:eastAsia="Arial" w:hAnsi="Times New Roman" w:cs="Times New Roman"/>
          <w:sz w:val="24"/>
          <w:szCs w:val="24"/>
        </w:rPr>
        <w:t xml:space="preserve">, Wilcoxon </w:t>
      </w:r>
      <w:r w:rsidRPr="00A7676C">
        <w:rPr>
          <w:rFonts w:ascii="Times New Roman" w:eastAsia="Arial" w:hAnsi="Times New Roman" w:cs="Times New Roman"/>
          <w:i/>
          <w:iCs/>
          <w:sz w:val="24"/>
          <w:szCs w:val="24"/>
        </w:rPr>
        <w:t>V</w:t>
      </w:r>
      <w:r w:rsidRPr="00A7676C">
        <w:rPr>
          <w:rFonts w:ascii="Times New Roman" w:eastAsia="Arial" w:hAnsi="Times New Roman" w:cs="Times New Roman"/>
          <w:sz w:val="24"/>
          <w:szCs w:val="24"/>
        </w:rPr>
        <w:t xml:space="preserve"> = 166,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whereas pleasantness did not differ between conditions, </w:t>
      </w:r>
      <w:r w:rsidRPr="00A7676C">
        <w:rPr>
          <w:rFonts w:ascii="Times New Roman" w:eastAsia="Arial" w:hAnsi="Times New Roman" w:cs="Times New Roman"/>
          <w:i/>
          <w:iCs/>
          <w:sz w:val="24"/>
          <w:szCs w:val="24"/>
        </w:rPr>
        <w:t>V</w:t>
      </w:r>
      <w:r w:rsidRPr="00A7676C">
        <w:rPr>
          <w:rFonts w:ascii="Times New Roman" w:eastAsia="Arial" w:hAnsi="Times New Roman" w:cs="Times New Roman"/>
          <w:sz w:val="24"/>
          <w:szCs w:val="24"/>
        </w:rPr>
        <w:t xml:space="preserve"> = 585,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.631. Thus, the effects of the manipulation were not attributable to greater liking.</w:t>
      </w:r>
    </w:p>
    <w:p w14:paraId="744F7492" w14:textId="2F062F22" w:rsidR="00326B1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Participant-level estimated intake, intensity and pleasantness ratings are shown in Figure S3C</w:t>
      </w:r>
      <w:r w:rsidR="00A7676C">
        <w:rPr>
          <w:rFonts w:ascii="Times New Roman" w:eastAsia="Arial" w:hAnsi="Times New Roman" w:cs="Times New Roman"/>
          <w:sz w:val="24"/>
          <w:szCs w:val="24"/>
        </w:rPr>
        <w:t>-</w:t>
      </w:r>
      <w:r w:rsidRPr="00A7676C">
        <w:rPr>
          <w:rFonts w:ascii="Times New Roman" w:eastAsia="Arial" w:hAnsi="Times New Roman" w:cs="Times New Roman"/>
          <w:sz w:val="24"/>
          <w:szCs w:val="24"/>
        </w:rPr>
        <w:t>D.</w:t>
      </w:r>
    </w:p>
    <w:p w14:paraId="1B4AF861" w14:textId="0BB9430B" w:rsidR="00B40B7A" w:rsidRPr="0094017B" w:rsidRDefault="00B40B7A" w:rsidP="00C50D06">
      <w:pPr>
        <w:spacing w:before="280" w:after="280" w:line="360" w:lineRule="auto"/>
        <w:rPr>
          <w:rFonts w:ascii="Times New Roman" w:eastAsia="Arial" w:hAnsi="Times New Roman" w:cs="Times New Roman"/>
          <w:sz w:val="24"/>
          <w:szCs w:val="24"/>
        </w:rPr>
      </w:pPr>
      <w:r w:rsidRPr="0094017B">
        <w:rPr>
          <w:rFonts w:ascii="Times New Roman" w:hAnsi="Times New Roman" w:cs="Times New Roman"/>
          <w:sz w:val="24"/>
          <w:szCs w:val="24"/>
        </w:rPr>
        <w:lastRenderedPageBreak/>
        <w:t xml:space="preserve">Exploratory analyses further examined whether pod-related effects varied according to olfactory identification performance (SST-12; </w:t>
      </w:r>
      <w:r w:rsidRPr="0094017B">
        <w:rPr>
          <w:rStyle w:val="Enfasicorsivo"/>
          <w:rFonts w:ascii="Times New Roman" w:hAnsi="Times New Roman" w:cs="Times New Roman"/>
          <w:sz w:val="24"/>
          <w:szCs w:val="24"/>
        </w:rPr>
        <w:t>M</w:t>
      </w:r>
      <w:r w:rsidRPr="0094017B">
        <w:rPr>
          <w:rFonts w:ascii="Times New Roman" w:hAnsi="Times New Roman" w:cs="Times New Roman"/>
          <w:sz w:val="24"/>
          <w:szCs w:val="24"/>
        </w:rPr>
        <w:t xml:space="preserve"> = 9.15, </w:t>
      </w:r>
      <w:r w:rsidRPr="0094017B">
        <w:rPr>
          <w:rStyle w:val="Enfasicorsivo"/>
          <w:rFonts w:ascii="Times New Roman" w:hAnsi="Times New Roman" w:cs="Times New Roman"/>
          <w:sz w:val="24"/>
          <w:szCs w:val="24"/>
        </w:rPr>
        <w:t>SD</w:t>
      </w:r>
      <w:r w:rsidRPr="0094017B">
        <w:rPr>
          <w:rFonts w:ascii="Times New Roman" w:hAnsi="Times New Roman" w:cs="Times New Roman"/>
          <w:sz w:val="24"/>
          <w:szCs w:val="24"/>
        </w:rPr>
        <w:t xml:space="preserve"> = 1.40, range 5–11), interoceptive awareness (MAIA) or trait absorption (TAS). None of these associations survived Holm correction: for nutritional attribution the strongest was ρ = −.148, </w:t>
      </w:r>
      <w:r w:rsidRPr="0094017B">
        <w:rPr>
          <w:rStyle w:val="Enfasicorsivo"/>
          <w:rFonts w:ascii="Times New Roman" w:hAnsi="Times New Roman" w:cs="Times New Roman"/>
          <w:sz w:val="24"/>
          <w:szCs w:val="24"/>
        </w:rPr>
        <w:t>p</w:t>
      </w:r>
      <w:r w:rsidRPr="0094017B">
        <w:rPr>
          <w:rFonts w:ascii="Times New Roman" w:hAnsi="Times New Roman" w:cs="Times New Roman"/>
          <w:sz w:val="24"/>
          <w:szCs w:val="24"/>
        </w:rPr>
        <w:t xml:space="preserve"> = .320, and no coefficient in the taste, intensity or intake families reached significance either (all |ρ| ≤ .203, all </w:t>
      </w:r>
      <w:proofErr w:type="spellStart"/>
      <w:r w:rsidRPr="0094017B">
        <w:rPr>
          <w:rStyle w:val="Enfasicorsivo"/>
          <w:rFonts w:ascii="Times New Roman" w:hAnsi="Times New Roman" w:cs="Times New Roman"/>
          <w:sz w:val="24"/>
          <w:szCs w:val="24"/>
        </w:rPr>
        <w:t>p</w:t>
      </w:r>
      <w:r w:rsidRPr="0094017B">
        <w:rPr>
          <w:rFonts w:ascii="Times New Roman" w:hAnsi="Times New Roman" w:cs="Times New Roman"/>
          <w:sz w:val="24"/>
          <w:szCs w:val="24"/>
        </w:rPr>
        <w:t>Holm</w:t>
      </w:r>
      <w:proofErr w:type="spellEnd"/>
      <w:r w:rsidRPr="0094017B">
        <w:rPr>
          <w:rFonts w:ascii="Times New Roman" w:hAnsi="Times New Roman" w:cs="Times New Roman"/>
          <w:sz w:val="24"/>
          <w:szCs w:val="24"/>
        </w:rPr>
        <w:t xml:space="preserve"> ≥ .723).</w:t>
      </w:r>
    </w:p>
    <w:p w14:paraId="744F7494" w14:textId="27EC0857" w:rsidR="00326B1C" w:rsidRPr="00A7676C" w:rsidRDefault="00096BB3" w:rsidP="00C50D06">
      <w:pPr>
        <w:spacing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Open-ended responses to the questions about perceived beverage identity and ingredients provided an additional manipulation check for the critical pod-versus-</w:t>
      </w:r>
      <w:r w:rsidR="00986714">
        <w:rPr>
          <w:rFonts w:ascii="Times New Roman" w:eastAsia="Arial" w:hAnsi="Times New Roman" w:cs="Times New Roman"/>
          <w:sz w:val="24"/>
          <w:szCs w:val="24"/>
        </w:rPr>
        <w:t>no pod</w:t>
      </w:r>
      <w:r w:rsidR="00986714" w:rsidRPr="00A7676C">
        <w:rPr>
          <w:rFonts w:ascii="Times New Roman" w:eastAsia="Arial" w:hAnsi="Times New Roman" w:cs="Times New Roman"/>
          <w:sz w:val="24"/>
          <w:szCs w:val="24"/>
        </w:rPr>
        <w:t xml:space="preserve"> </w:t>
      </w:r>
      <w:r w:rsidRPr="00A7676C">
        <w:rPr>
          <w:rFonts w:ascii="Times New Roman" w:eastAsia="Arial" w:hAnsi="Times New Roman" w:cs="Times New Roman"/>
          <w:sz w:val="24"/>
          <w:szCs w:val="24"/>
        </w:rPr>
        <w:t>contrast. Because Pilot 2 no longer compared two calorie-related pods, responses were recoded using a binary scheme distinguishing plain water from nutrient/caloric or added-ingredient beverage identities. This coding was chosen to test whether the olfactory pod made participants interpret the same ingested water as something other than plain water.</w:t>
      </w:r>
    </w:p>
    <w:p w14:paraId="744F7495" w14:textId="2508C899"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In the </w:t>
      </w:r>
      <w:r w:rsidR="00032C0B">
        <w:rPr>
          <w:rFonts w:ascii="Times New Roman" w:eastAsia="Arial" w:hAnsi="Times New Roman" w:cs="Times New Roman"/>
          <w:sz w:val="24"/>
          <w:szCs w:val="24"/>
        </w:rPr>
        <w:t>No Olfactory Pod</w:t>
      </w:r>
      <w:r w:rsidRPr="00A7676C">
        <w:rPr>
          <w:rFonts w:ascii="Times New Roman" w:eastAsia="Arial" w:hAnsi="Times New Roman" w:cs="Times New Roman"/>
          <w:sz w:val="24"/>
          <w:szCs w:val="24"/>
        </w:rPr>
        <w:t xml:space="preserve"> condition, 31 of 47 participants (66.0%) identified the ingested liquid as plain water. In the Olfactory Pod condition, only 2 of 47 participants (4.3%) identified it as plain water, whereas 45 of 47 participants (95.7%) attributed it to a beverage identity.</w:t>
      </w:r>
    </w:p>
    <w:p w14:paraId="744F7496" w14:textId="0D89BB8A" w:rsidR="00326B1C" w:rsidRPr="00A7676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At the paired-participant level, 30 of 47 participants (63.8%) shifted from identifying the liquid as plain water in the </w:t>
      </w:r>
      <w:r w:rsidR="00032C0B">
        <w:rPr>
          <w:rFonts w:ascii="Times New Roman" w:eastAsia="Arial" w:hAnsi="Times New Roman" w:cs="Times New Roman"/>
          <w:sz w:val="24"/>
          <w:szCs w:val="24"/>
        </w:rPr>
        <w:t>No Olfactory Pod</w:t>
      </w:r>
      <w:r w:rsidRPr="00A7676C">
        <w:rPr>
          <w:rFonts w:ascii="Times New Roman" w:eastAsia="Arial" w:hAnsi="Times New Roman" w:cs="Times New Roman"/>
          <w:sz w:val="24"/>
          <w:szCs w:val="24"/>
        </w:rPr>
        <w:t xml:space="preserve"> condition to attributing a beverage identity in the Olfactory Pod condition. Only one participant (2.1%) showed the reverse pattern. This asymmetry was significant, exact </w:t>
      </w:r>
      <w:proofErr w:type="spellStart"/>
      <w:r w:rsidRPr="00A7676C">
        <w:rPr>
          <w:rFonts w:ascii="Times New Roman" w:eastAsia="Arial" w:hAnsi="Times New Roman" w:cs="Times New Roman"/>
          <w:sz w:val="24"/>
          <w:szCs w:val="24"/>
        </w:rPr>
        <w:t>McNemar</w:t>
      </w:r>
      <w:proofErr w:type="spellEnd"/>
      <w:r w:rsidRPr="00A7676C">
        <w:rPr>
          <w:rFonts w:ascii="Times New Roman" w:eastAsia="Arial" w:hAnsi="Times New Roman" w:cs="Times New Roman"/>
          <w:sz w:val="24"/>
          <w:szCs w:val="24"/>
        </w:rPr>
        <w:t xml:space="preserve">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Among the 16 participants who did not show the expected shift, 15 attributed a beverage identity in both conditions, whereas only one identified both samples as plain water. Thus, the absence of a shift predominantly reflected an already altered interpretation of the </w:t>
      </w:r>
      <w:r w:rsidR="003B2746">
        <w:rPr>
          <w:rFonts w:ascii="Times New Roman" w:eastAsia="Arial" w:hAnsi="Times New Roman" w:cs="Times New Roman"/>
          <w:sz w:val="24"/>
          <w:szCs w:val="24"/>
        </w:rPr>
        <w:t>control condition</w:t>
      </w:r>
      <w:r w:rsidRPr="00A7676C">
        <w:rPr>
          <w:rFonts w:ascii="Times New Roman" w:eastAsia="Arial" w:hAnsi="Times New Roman" w:cs="Times New Roman"/>
          <w:sz w:val="24"/>
          <w:szCs w:val="24"/>
        </w:rPr>
        <w:t xml:space="preserve"> rather than a failure of the olfactory manipulation. </w:t>
      </w:r>
    </w:p>
    <w:p w14:paraId="744F7497" w14:textId="58FE2EB0" w:rsidR="00326B1C" w:rsidRDefault="00096BB3"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The condition-specific distribution of open-ended beverage-identity responses is shown in Figure S3E.</w:t>
      </w:r>
    </w:p>
    <w:p w14:paraId="744F7498" w14:textId="2DAB1FF1" w:rsidR="00326B1C" w:rsidRPr="00A7676C" w:rsidRDefault="003B2746" w:rsidP="00C50D06">
      <w:pPr>
        <w:spacing w:before="280" w:after="280" w:line="360" w:lineRule="auto"/>
        <w:rPr>
          <w:rFonts w:ascii="Times New Roman" w:eastAsia="Arial" w:hAnsi="Times New Roman" w:cs="Times New Roman"/>
          <w:sz w:val="24"/>
          <w:szCs w:val="24"/>
        </w:rPr>
      </w:pPr>
      <w:r w:rsidRPr="00A7676C">
        <w:rPr>
          <w:rFonts w:ascii="Times New Roman" w:eastAsia="Arial" w:hAnsi="Times New Roman" w:cs="Times New Roman"/>
          <w:sz w:val="24"/>
          <w:szCs w:val="24"/>
        </w:rPr>
        <w:t xml:space="preserve">Overall, Pilot 2 showed that the </w:t>
      </w:r>
      <w:proofErr w:type="spellStart"/>
      <w:r w:rsidRPr="00A7676C">
        <w:rPr>
          <w:rFonts w:ascii="Times New Roman" w:eastAsia="Arial" w:hAnsi="Times New Roman" w:cs="Times New Roman"/>
          <w:sz w:val="24"/>
          <w:szCs w:val="24"/>
        </w:rPr>
        <w:t>retronasal</w:t>
      </w:r>
      <w:proofErr w:type="spellEnd"/>
      <w:r w:rsidRPr="00A7676C">
        <w:rPr>
          <w:rFonts w:ascii="Times New Roman" w:eastAsia="Arial" w:hAnsi="Times New Roman" w:cs="Times New Roman"/>
          <w:sz w:val="24"/>
          <w:szCs w:val="24"/>
        </w:rPr>
        <w:t xml:space="preserve"> cue altered the perceived taste, nutritional meaning and estimated amount of plain water, without these effects being robustly explained by olfactory </w:t>
      </w:r>
      <w:r w:rsidR="00A414E6">
        <w:rPr>
          <w:rFonts w:ascii="Times New Roman" w:eastAsia="Arial" w:hAnsi="Times New Roman" w:cs="Times New Roman"/>
          <w:sz w:val="24"/>
          <w:szCs w:val="24"/>
        </w:rPr>
        <w:t>identification</w:t>
      </w:r>
      <w:r w:rsidRPr="00A7676C">
        <w:rPr>
          <w:rFonts w:ascii="Times New Roman" w:eastAsia="Arial" w:hAnsi="Times New Roman" w:cs="Times New Roman"/>
          <w:sz w:val="24"/>
          <w:szCs w:val="24"/>
        </w:rPr>
        <w:t xml:space="preserve">, self-reported </w:t>
      </w:r>
      <w:proofErr w:type="spellStart"/>
      <w:r w:rsidRPr="00A7676C">
        <w:rPr>
          <w:rFonts w:ascii="Times New Roman" w:eastAsia="Arial" w:hAnsi="Times New Roman" w:cs="Times New Roman"/>
          <w:sz w:val="24"/>
          <w:szCs w:val="24"/>
        </w:rPr>
        <w:t>interoception</w:t>
      </w:r>
      <w:proofErr w:type="spellEnd"/>
      <w:r w:rsidRPr="00A7676C">
        <w:rPr>
          <w:rFonts w:ascii="Times New Roman" w:eastAsia="Arial" w:hAnsi="Times New Roman" w:cs="Times New Roman"/>
          <w:sz w:val="24"/>
          <w:szCs w:val="24"/>
        </w:rPr>
        <w:t xml:space="preserve"> or absorption</w:t>
      </w:r>
      <w:r w:rsidR="00096BB3" w:rsidRPr="00A7676C">
        <w:rPr>
          <w:rFonts w:ascii="Times New Roman" w:eastAsia="Arial" w:hAnsi="Times New Roman" w:cs="Times New Roman"/>
          <w:sz w:val="24"/>
          <w:szCs w:val="24"/>
        </w:rPr>
        <w:t xml:space="preserve">. The convergence of structured ratings, estimated-consumption judgements and open-ended descriptions supports the Olfactory Pod versus </w:t>
      </w:r>
      <w:r w:rsidR="00032C0B">
        <w:rPr>
          <w:rFonts w:ascii="Times New Roman" w:eastAsia="Arial" w:hAnsi="Times New Roman" w:cs="Times New Roman"/>
          <w:sz w:val="24"/>
          <w:szCs w:val="24"/>
        </w:rPr>
        <w:t>No Olfactory Pod</w:t>
      </w:r>
      <w:r w:rsidR="00096BB3" w:rsidRPr="00A7676C">
        <w:rPr>
          <w:rFonts w:ascii="Times New Roman" w:eastAsia="Arial" w:hAnsi="Times New Roman" w:cs="Times New Roman"/>
          <w:sz w:val="24"/>
          <w:szCs w:val="24"/>
        </w:rPr>
        <w:t xml:space="preserve"> contrast as a robust manipulation of calorie-related beverage expectations (Figures S3</w:t>
      </w:r>
      <w:r w:rsidR="00A7676C">
        <w:rPr>
          <w:rFonts w:ascii="Times New Roman" w:eastAsia="Arial" w:hAnsi="Times New Roman" w:cs="Times New Roman"/>
          <w:sz w:val="24"/>
          <w:szCs w:val="24"/>
        </w:rPr>
        <w:t>-</w:t>
      </w:r>
      <w:r w:rsidR="00096BB3" w:rsidRPr="00A7676C">
        <w:rPr>
          <w:rFonts w:ascii="Times New Roman" w:eastAsia="Arial" w:hAnsi="Times New Roman" w:cs="Times New Roman"/>
          <w:sz w:val="24"/>
          <w:szCs w:val="24"/>
        </w:rPr>
        <w:t>S4). All Pilot 2 analyses, numerical outputs and figures can be reproduced using the analysis-ready dataset data/pilot_2_data_.xlsx and the R script scripts/Pilot2_complete_analysis_</w:t>
      </w:r>
      <w:proofErr w:type="gramStart"/>
      <w:r w:rsidR="00096BB3" w:rsidRPr="00A7676C">
        <w:rPr>
          <w:rFonts w:ascii="Times New Roman" w:eastAsia="Arial" w:hAnsi="Times New Roman" w:cs="Times New Roman"/>
          <w:sz w:val="24"/>
          <w:szCs w:val="24"/>
        </w:rPr>
        <w:t>repository.R</w:t>
      </w:r>
      <w:proofErr w:type="gramEnd"/>
      <w:r w:rsidR="00096BB3" w:rsidRPr="00A7676C">
        <w:rPr>
          <w:rFonts w:ascii="Times New Roman" w:eastAsia="Arial" w:hAnsi="Times New Roman" w:cs="Times New Roman"/>
          <w:sz w:val="24"/>
          <w:szCs w:val="24"/>
        </w:rPr>
        <w:t>, available in the project repository.</w:t>
      </w:r>
    </w:p>
    <w:p w14:paraId="744F7499" w14:textId="32D32DB0" w:rsidR="00326B1C" w:rsidRPr="00A7676C" w:rsidRDefault="0094017B" w:rsidP="00C50D06">
      <w:pPr>
        <w:spacing w:before="280" w:after="280" w:line="360" w:lineRule="auto"/>
        <w:rPr>
          <w:rFonts w:ascii="Times New Roman" w:eastAsia="Arial" w:hAnsi="Times New Roman" w:cs="Times New Roman"/>
          <w:b/>
          <w:bCs/>
          <w:sz w:val="24"/>
          <w:szCs w:val="24"/>
        </w:rPr>
      </w:pPr>
      <w:r>
        <w:rPr>
          <w:rFonts w:ascii="Times New Roman" w:eastAsia="Arial" w:hAnsi="Times New Roman" w:cs="Times New Roman"/>
          <w:noProof/>
          <w:sz w:val="24"/>
          <w:szCs w:val="24"/>
        </w:rPr>
        <w:lastRenderedPageBreak/>
        <w:drawing>
          <wp:inline distT="0" distB="0" distL="0" distR="0" wp14:anchorId="6525F5B0" wp14:editId="1AB1D208">
            <wp:extent cx="6117590" cy="5731510"/>
            <wp:effectExtent l="0" t="0" r="0" b="254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7590" cy="5731510"/>
                    </a:xfrm>
                    <a:prstGeom prst="rect">
                      <a:avLst/>
                    </a:prstGeom>
                    <a:noFill/>
                    <a:ln>
                      <a:noFill/>
                    </a:ln>
                  </pic:spPr>
                </pic:pic>
              </a:graphicData>
            </a:graphic>
          </wp:inline>
        </w:drawing>
      </w:r>
    </w:p>
    <w:p w14:paraId="744F749D" w14:textId="252A054A" w:rsidR="00326B1C" w:rsidRPr="00A7676C" w:rsidRDefault="00096BB3" w:rsidP="00170246">
      <w:pPr>
        <w:spacing w:before="280" w:after="280" w:line="240" w:lineRule="auto"/>
        <w:rPr>
          <w:rFonts w:ascii="Times New Roman" w:eastAsia="Arial" w:hAnsi="Times New Roman" w:cs="Times New Roman"/>
          <w:sz w:val="24"/>
          <w:szCs w:val="24"/>
        </w:rPr>
      </w:pPr>
      <w:bookmarkStart w:id="0" w:name="_heading=h.h060e9t19v9d" w:colFirst="0" w:colLast="0"/>
      <w:bookmarkEnd w:id="0"/>
      <w:r w:rsidRPr="00A7676C">
        <w:rPr>
          <w:rFonts w:ascii="Times New Roman" w:eastAsia="Arial" w:hAnsi="Times New Roman" w:cs="Times New Roman"/>
          <w:b/>
          <w:bCs/>
          <w:sz w:val="24"/>
          <w:szCs w:val="24"/>
        </w:rPr>
        <w:t xml:space="preserve">Figure S3. </w:t>
      </w:r>
      <w:r w:rsidR="00122E7C">
        <w:rPr>
          <w:rFonts w:ascii="Times New Roman" w:eastAsia="Arial" w:hAnsi="Times New Roman" w:cs="Times New Roman"/>
          <w:b/>
          <w:bCs/>
          <w:sz w:val="24"/>
          <w:szCs w:val="24"/>
        </w:rPr>
        <w:t>Comparison</w:t>
      </w:r>
      <w:r w:rsidRPr="00A7676C">
        <w:rPr>
          <w:rFonts w:ascii="Times New Roman" w:eastAsia="Arial" w:hAnsi="Times New Roman" w:cs="Times New Roman"/>
          <w:b/>
          <w:bCs/>
          <w:sz w:val="24"/>
          <w:szCs w:val="24"/>
        </w:rPr>
        <w:t xml:space="preserve"> of the Olfactory Pod versus </w:t>
      </w:r>
      <w:r w:rsidR="00032C0B">
        <w:rPr>
          <w:rFonts w:ascii="Times New Roman" w:eastAsia="Arial" w:hAnsi="Times New Roman" w:cs="Times New Roman"/>
          <w:b/>
          <w:bCs/>
          <w:sz w:val="24"/>
          <w:szCs w:val="24"/>
        </w:rPr>
        <w:t>No Olfactory Pod</w:t>
      </w:r>
      <w:r w:rsidRPr="00A7676C">
        <w:rPr>
          <w:rFonts w:ascii="Times New Roman" w:eastAsia="Arial" w:hAnsi="Times New Roman" w:cs="Times New Roman"/>
          <w:b/>
          <w:bCs/>
          <w:sz w:val="24"/>
          <w:szCs w:val="24"/>
        </w:rPr>
        <w:t xml:space="preserve"> contrast in Pilot 2.</w:t>
      </w:r>
      <w:r w:rsidRPr="00A7676C">
        <w:rPr>
          <w:rFonts w:ascii="Times New Roman" w:eastAsia="Arial" w:hAnsi="Times New Roman" w:cs="Times New Roman"/>
          <w:sz w:val="24"/>
          <w:szCs w:val="24"/>
        </w:rPr>
        <w:t xml:space="preserve"> Participants consumed 200 ml of plain water in both conditions. </w:t>
      </w:r>
      <w:r w:rsidRPr="00A7676C">
        <w:rPr>
          <w:rFonts w:ascii="Times New Roman" w:eastAsia="Arial" w:hAnsi="Times New Roman" w:cs="Times New Roman"/>
          <w:b/>
          <w:bCs/>
          <w:sz w:val="24"/>
          <w:szCs w:val="24"/>
        </w:rPr>
        <w:t>A</w:t>
      </w:r>
      <w:r w:rsidRPr="00A7676C">
        <w:rPr>
          <w:rFonts w:ascii="Times New Roman" w:eastAsia="Arial" w:hAnsi="Times New Roman" w:cs="Times New Roman"/>
          <w:sz w:val="24"/>
          <w:szCs w:val="24"/>
        </w:rPr>
        <w:t xml:space="preserve">, perceived fat, calorie and sugar content. Planned ART-C comparisons indicated greater nutritional attribution in the Olfactory Pod condition for all three properties, all </w:t>
      </w:r>
      <w:proofErr w:type="spellStar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Holm</w:t>
      </w:r>
      <w:proofErr w:type="spellEnd"/>
      <w:r w:rsidRPr="00A7676C">
        <w:rPr>
          <w:rFonts w:ascii="Times New Roman" w:eastAsia="Arial" w:hAnsi="Times New Roman" w:cs="Times New Roman"/>
          <w:sz w:val="24"/>
          <w:szCs w:val="24"/>
        </w:rPr>
        <w:t xml:space="preserve"> &lt; .001. </w:t>
      </w:r>
      <w:r w:rsidRPr="00A7676C">
        <w:rPr>
          <w:rFonts w:ascii="Times New Roman" w:eastAsia="Arial" w:hAnsi="Times New Roman" w:cs="Times New Roman"/>
          <w:b/>
          <w:bCs/>
          <w:sz w:val="24"/>
          <w:szCs w:val="24"/>
        </w:rPr>
        <w:t>B</w:t>
      </w:r>
      <w:r w:rsidRPr="00A7676C">
        <w:rPr>
          <w:rFonts w:ascii="Times New Roman" w:eastAsia="Arial" w:hAnsi="Times New Roman" w:cs="Times New Roman"/>
          <w:sz w:val="24"/>
          <w:szCs w:val="24"/>
        </w:rPr>
        <w:t xml:space="preserve">, perceived taste profile. The Olfactory Pod increased perceived sweetness, sourness and bitterness after false-discovery-rate correction, whereas saltiness did not differ between conditions. </w:t>
      </w:r>
      <w:r w:rsidRPr="00A7676C">
        <w:rPr>
          <w:rFonts w:ascii="Times New Roman" w:eastAsia="Arial" w:hAnsi="Times New Roman" w:cs="Times New Roman"/>
          <w:b/>
          <w:bCs/>
          <w:sz w:val="24"/>
          <w:szCs w:val="24"/>
        </w:rPr>
        <w:t>C</w:t>
      </w:r>
      <w:r w:rsidRPr="00A7676C">
        <w:rPr>
          <w:rFonts w:ascii="Times New Roman" w:eastAsia="Arial" w:hAnsi="Times New Roman" w:cs="Times New Roman"/>
          <w:sz w:val="24"/>
          <w:szCs w:val="24"/>
        </w:rPr>
        <w:t xml:space="preserve">, estimated amount consumed. Although actual intake was fixed at 200 ml in both conditions, participants estimated having consumed less in the Olfactory Pod condition than in the </w:t>
      </w:r>
      <w:r w:rsidR="00032C0B">
        <w:rPr>
          <w:rFonts w:ascii="Times New Roman" w:eastAsia="Arial" w:hAnsi="Times New Roman" w:cs="Times New Roman"/>
          <w:sz w:val="24"/>
          <w:szCs w:val="24"/>
        </w:rPr>
        <w:t>No Olfactory Pod</w:t>
      </w:r>
      <w:r w:rsidRPr="00A7676C">
        <w:rPr>
          <w:rFonts w:ascii="Times New Roman" w:eastAsia="Arial" w:hAnsi="Times New Roman" w:cs="Times New Roman"/>
          <w:sz w:val="24"/>
          <w:szCs w:val="24"/>
        </w:rPr>
        <w:t xml:space="preserve"> condition, </w:t>
      </w:r>
      <w:r w:rsidRPr="00A7676C">
        <w:rPr>
          <w:rFonts w:ascii="Times New Roman" w:eastAsia="Arial" w:hAnsi="Times New Roman" w:cs="Times New Roman"/>
          <w:i/>
          <w:iCs/>
          <w:sz w:val="24"/>
          <w:szCs w:val="24"/>
        </w:rPr>
        <w:t>t</w:t>
      </w:r>
      <w:sdt>
        <w:sdtPr>
          <w:rPr>
            <w:rFonts w:ascii="Times New Roman" w:hAnsi="Times New Roman" w:cs="Times New Roman"/>
          </w:rPr>
          <w:tag w:val="goog_rdk_8"/>
          <w:id w:val="1363687079"/>
        </w:sdtPr>
        <w:sdtEndPr/>
        <w:sdtContent>
          <w:r w:rsidRPr="00A7676C">
            <w:rPr>
              <w:rFonts w:ascii="Times New Roman" w:eastAsia="Arial Unicode MS" w:hAnsi="Times New Roman" w:cs="Times New Roman"/>
              <w:sz w:val="24"/>
              <w:szCs w:val="24"/>
            </w:rPr>
            <w:t xml:space="preserve">(46) = −2.27, </w:t>
          </w:r>
        </w:sdtContent>
      </w:sdt>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.028. </w:t>
      </w:r>
      <w:r w:rsidRPr="00A7676C">
        <w:rPr>
          <w:rFonts w:ascii="Times New Roman" w:eastAsia="Arial" w:hAnsi="Times New Roman" w:cs="Times New Roman"/>
          <w:b/>
          <w:bCs/>
          <w:sz w:val="24"/>
          <w:szCs w:val="24"/>
        </w:rPr>
        <w:t>D</w:t>
      </w:r>
      <w:r w:rsidRPr="00A7676C">
        <w:rPr>
          <w:rFonts w:ascii="Times New Roman" w:eastAsia="Arial" w:hAnsi="Times New Roman" w:cs="Times New Roman"/>
          <w:sz w:val="24"/>
          <w:szCs w:val="24"/>
        </w:rPr>
        <w:t xml:space="preserve">, perceived intensity and pleasantness. The Olfactory Pod was rated as more intense than </w:t>
      </w:r>
      <w:r w:rsidR="00032C0B">
        <w:rPr>
          <w:rFonts w:ascii="Times New Roman" w:eastAsia="Arial" w:hAnsi="Times New Roman" w:cs="Times New Roman"/>
          <w:sz w:val="24"/>
          <w:szCs w:val="24"/>
        </w:rPr>
        <w:t>No Olfactory Pod</w:t>
      </w:r>
      <w:r w:rsidRPr="00A7676C">
        <w:rPr>
          <w:rFonts w:ascii="Times New Roman" w:eastAsia="Arial" w:hAnsi="Times New Roman" w:cs="Times New Roman"/>
          <w:sz w:val="24"/>
          <w:szCs w:val="24"/>
        </w:rPr>
        <w:t xml:space="preserve">, Wilcoxon </w:t>
      </w:r>
      <w:r w:rsidRPr="00A7676C">
        <w:rPr>
          <w:rFonts w:ascii="Times New Roman" w:eastAsia="Arial" w:hAnsi="Times New Roman" w:cs="Times New Roman"/>
          <w:i/>
          <w:iCs/>
          <w:sz w:val="24"/>
          <w:szCs w:val="24"/>
        </w:rPr>
        <w:t>V</w:t>
      </w:r>
      <w:r w:rsidRPr="00A7676C">
        <w:rPr>
          <w:rFonts w:ascii="Times New Roman" w:eastAsia="Arial" w:hAnsi="Times New Roman" w:cs="Times New Roman"/>
          <w:sz w:val="24"/>
          <w:szCs w:val="24"/>
        </w:rPr>
        <w:t xml:space="preserve"> = 166,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whereas pleasantness did not differ, </w:t>
      </w:r>
      <w:r w:rsidRPr="00A7676C">
        <w:rPr>
          <w:rFonts w:ascii="Times New Roman" w:eastAsia="Arial" w:hAnsi="Times New Roman" w:cs="Times New Roman"/>
          <w:i/>
          <w:iCs/>
          <w:sz w:val="24"/>
          <w:szCs w:val="24"/>
        </w:rPr>
        <w:t>V</w:t>
      </w:r>
      <w:r w:rsidRPr="00A7676C">
        <w:rPr>
          <w:rFonts w:ascii="Times New Roman" w:eastAsia="Arial" w:hAnsi="Times New Roman" w:cs="Times New Roman"/>
          <w:sz w:val="24"/>
          <w:szCs w:val="24"/>
        </w:rPr>
        <w:t xml:space="preserve"> = 585,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 .631. </w:t>
      </w:r>
      <w:r w:rsidRPr="00A7676C">
        <w:rPr>
          <w:rFonts w:ascii="Times New Roman" w:eastAsia="Arial" w:hAnsi="Times New Roman" w:cs="Times New Roman"/>
          <w:b/>
          <w:bCs/>
          <w:sz w:val="24"/>
          <w:szCs w:val="24"/>
        </w:rPr>
        <w:t>E</w:t>
      </w:r>
      <w:r w:rsidRPr="00A7676C">
        <w:rPr>
          <w:rFonts w:ascii="Times New Roman" w:eastAsia="Arial" w:hAnsi="Times New Roman" w:cs="Times New Roman"/>
          <w:sz w:val="24"/>
          <w:szCs w:val="24"/>
        </w:rPr>
        <w:t xml:space="preserve">, binary coding of open-ended beverage-identity responses. Plain-water identifications were more frequent in the </w:t>
      </w:r>
      <w:r w:rsidR="00032C0B">
        <w:rPr>
          <w:rFonts w:ascii="Times New Roman" w:eastAsia="Arial" w:hAnsi="Times New Roman" w:cs="Times New Roman"/>
          <w:sz w:val="24"/>
          <w:szCs w:val="24"/>
        </w:rPr>
        <w:t>No Olfactory Pod</w:t>
      </w:r>
      <w:r w:rsidRPr="00A7676C">
        <w:rPr>
          <w:rFonts w:ascii="Times New Roman" w:eastAsia="Arial" w:hAnsi="Times New Roman" w:cs="Times New Roman"/>
          <w:sz w:val="24"/>
          <w:szCs w:val="24"/>
        </w:rPr>
        <w:t xml:space="preserve"> condition, whereas most participants attributed a beverage identity in the Olfactory Pod condition. Individual paired observations and condition means are shown for continuous outcomes; bars report counts and percentages for open-ended responses. ***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.001; **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.01; * </w:t>
      </w:r>
      <w:r w:rsidRPr="00A7676C">
        <w:rPr>
          <w:rFonts w:ascii="Times New Roman" w:eastAsia="Arial" w:hAnsi="Times New Roman" w:cs="Times New Roman"/>
          <w:i/>
          <w:iCs/>
          <w:sz w:val="24"/>
          <w:szCs w:val="24"/>
        </w:rPr>
        <w:t>p</w:t>
      </w:r>
      <w:r w:rsidRPr="00A7676C">
        <w:rPr>
          <w:rFonts w:ascii="Times New Roman" w:eastAsia="Arial" w:hAnsi="Times New Roman" w:cs="Times New Roman"/>
          <w:sz w:val="24"/>
          <w:szCs w:val="24"/>
        </w:rPr>
        <w:t xml:space="preserve"> &lt; .05; ns = non-significant. Nutritional and taste analyses used ART and ART-C procedures.</w:t>
      </w:r>
      <w:bookmarkStart w:id="1" w:name="_GoBack"/>
      <w:bookmarkEnd w:id="1"/>
    </w:p>
    <w:p w14:paraId="744F749E" w14:textId="0579AF0B" w:rsidR="00326B1C" w:rsidRPr="00A7676C" w:rsidRDefault="00170246" w:rsidP="00FC6240">
      <w:pPr>
        <w:spacing w:before="280" w:after="280" w:line="360" w:lineRule="auto"/>
        <w:jc w:val="both"/>
        <w:rPr>
          <w:rFonts w:ascii="Times New Roman" w:eastAsia="Arial" w:hAnsi="Times New Roman" w:cs="Times New Roman"/>
          <w:sz w:val="24"/>
          <w:szCs w:val="24"/>
        </w:rPr>
      </w:pPr>
      <w:r>
        <w:rPr>
          <w:rFonts w:ascii="Times New Roman" w:eastAsia="Arial" w:hAnsi="Times New Roman" w:cs="Times New Roman"/>
          <w:noProof/>
          <w:sz w:val="24"/>
          <w:szCs w:val="24"/>
        </w:rPr>
        <w:lastRenderedPageBreak/>
        <w:drawing>
          <wp:inline distT="0" distB="0" distL="0" distR="0" wp14:anchorId="02B71931" wp14:editId="5AEE5D2F">
            <wp:extent cx="6118860" cy="2186940"/>
            <wp:effectExtent l="0" t="0" r="0" b="381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8860" cy="2186940"/>
                    </a:xfrm>
                    <a:prstGeom prst="rect">
                      <a:avLst/>
                    </a:prstGeom>
                    <a:noFill/>
                    <a:ln>
                      <a:noFill/>
                    </a:ln>
                  </pic:spPr>
                </pic:pic>
              </a:graphicData>
            </a:graphic>
          </wp:inline>
        </w:drawing>
      </w:r>
    </w:p>
    <w:p w14:paraId="744F749F" w14:textId="41957F5F" w:rsidR="00326B1C" w:rsidRDefault="00096BB3" w:rsidP="00C50D06">
      <w:pPr>
        <w:spacing w:before="280" w:line="240" w:lineRule="auto"/>
        <w:rPr>
          <w:rFonts w:ascii="Times New Roman" w:eastAsia="Arial" w:hAnsi="Times New Roman" w:cs="Times New Roman"/>
          <w:sz w:val="24"/>
          <w:szCs w:val="24"/>
        </w:rPr>
      </w:pPr>
      <w:r w:rsidRPr="00A7676C">
        <w:rPr>
          <w:rFonts w:ascii="Times New Roman" w:eastAsia="Arial" w:hAnsi="Times New Roman" w:cs="Times New Roman"/>
          <w:b/>
          <w:bCs/>
          <w:sz w:val="24"/>
          <w:szCs w:val="24"/>
        </w:rPr>
        <w:t>Figure S4. Exploratory associations between pod-related taste modulation and nutritional attribution in Pilot 2.</w:t>
      </w:r>
      <w:r w:rsidRPr="00A7676C">
        <w:rPr>
          <w:rFonts w:ascii="Times New Roman" w:eastAsia="Arial" w:hAnsi="Times New Roman" w:cs="Times New Roman"/>
          <w:sz w:val="24"/>
          <w:szCs w:val="24"/>
        </w:rPr>
        <w:t xml:space="preserve"> Panel A shows the association between the pod-related change in perceived sweetness and the composite nutritional-attribution index. Panel B shows the association between the change in perceived bitterness and the composite nutritional-attribution index. Panel C shows the selective association between the change in perceived bitterness and the change in perceived fat attribution. Points represent individual participants, and lines with 95% confidence bands show descriptive bivariate linear associations. The coefficients reported in the panel subtitles derive from multiple-regression models that simultaneously included pod-related changes in sweetness, saltiness, sourness and bitterness. The coefficients in Panels A and B derive from the model predicting the composite nutritional-attribution index, whereas the coefficient in Panel C derives from the model predicting perceived fat.</w:t>
      </w:r>
    </w:p>
    <w:p w14:paraId="1952EC9C" w14:textId="77777777" w:rsidR="00122E7C" w:rsidRPr="00A7676C" w:rsidRDefault="00122E7C" w:rsidP="00C50D06">
      <w:pPr>
        <w:pStyle w:val="Titolo3"/>
        <w:spacing w:line="360" w:lineRule="auto"/>
        <w:rPr>
          <w:rFonts w:eastAsia="Arial"/>
          <w:sz w:val="24"/>
          <w:szCs w:val="24"/>
        </w:rPr>
      </w:pPr>
      <w:r w:rsidRPr="00A7676C">
        <w:rPr>
          <w:rFonts w:eastAsia="Arial"/>
          <w:sz w:val="24"/>
          <w:szCs w:val="24"/>
        </w:rPr>
        <w:t>Data and analytical reproducibility</w:t>
      </w:r>
    </w:p>
    <w:p w14:paraId="1F44468A" w14:textId="3146D944" w:rsidR="00122E7C" w:rsidRDefault="00122E7C" w:rsidP="00C50D06">
      <w:pPr>
        <w:pBdr>
          <w:top w:val="nil"/>
          <w:left w:val="nil"/>
          <w:bottom w:val="nil"/>
          <w:right w:val="nil"/>
          <w:between w:val="nil"/>
        </w:pBdr>
        <w:spacing w:line="360" w:lineRule="auto"/>
        <w:rPr>
          <w:rFonts w:ascii="Times New Roman" w:eastAsia="Arial" w:hAnsi="Times New Roman" w:cs="Times New Roman"/>
          <w:sz w:val="24"/>
          <w:szCs w:val="24"/>
        </w:rPr>
      </w:pPr>
      <w:r w:rsidRPr="00A7676C">
        <w:rPr>
          <w:rFonts w:ascii="Times New Roman" w:eastAsia="Arial" w:hAnsi="Times New Roman" w:cs="Times New Roman"/>
          <w:color w:val="000000"/>
          <w:sz w:val="24"/>
          <w:szCs w:val="24"/>
        </w:rPr>
        <w:t>All analyses were conducted in R using the analysis-ready datasets available in the project repository. Pilot 1 data are provided in data/pilot_1_data_.xlsx and are analysed by scripts/Pilot1_complete_analysis_repository.R. Pilot 2 data are provided in data/pilot_2_data_.xlsx and are analysed by scripts/Pilot2_complete_analysis_repository.R. Each script imports the corresponding Excel workbook, verifies the expected sample size and within-participant structure, reproduces all reported statistical analyses, generates the supplementary tables and figures, and saves a final verification summary together with the R session information. All data, analysis scripts, numerical outputs and publication-quality figures are available at https://github.com/EP171993/Preliminary_evidence_pilot_olfaction.</w:t>
      </w:r>
    </w:p>
    <w:p w14:paraId="0D013564" w14:textId="77777777" w:rsidR="00C50D06" w:rsidRDefault="00C50D06" w:rsidP="00C50D06">
      <w:pPr>
        <w:spacing w:before="280" w:line="360" w:lineRule="auto"/>
        <w:rPr>
          <w:rFonts w:ascii="Times New Roman" w:eastAsia="Arial" w:hAnsi="Times New Roman" w:cs="Times New Roman"/>
          <w:b/>
          <w:sz w:val="24"/>
          <w:szCs w:val="24"/>
        </w:rPr>
      </w:pPr>
    </w:p>
    <w:p w14:paraId="36FCCCDA" w14:textId="77777777" w:rsidR="00C50D06" w:rsidRDefault="00C50D06" w:rsidP="00C50D06">
      <w:pPr>
        <w:spacing w:before="280" w:line="360" w:lineRule="auto"/>
        <w:rPr>
          <w:rFonts w:ascii="Times New Roman" w:eastAsia="Arial" w:hAnsi="Times New Roman" w:cs="Times New Roman"/>
          <w:b/>
          <w:sz w:val="24"/>
          <w:szCs w:val="24"/>
        </w:rPr>
      </w:pPr>
    </w:p>
    <w:p w14:paraId="5A81FEB7" w14:textId="0269FC32" w:rsidR="00C8551B" w:rsidRPr="00122E7C" w:rsidRDefault="00C8551B" w:rsidP="00C50D06">
      <w:pPr>
        <w:spacing w:before="280" w:line="360" w:lineRule="auto"/>
        <w:rPr>
          <w:rFonts w:ascii="Times New Roman" w:eastAsia="Arial" w:hAnsi="Times New Roman" w:cs="Times New Roman"/>
          <w:b/>
          <w:sz w:val="24"/>
          <w:szCs w:val="24"/>
        </w:rPr>
      </w:pPr>
      <w:r w:rsidRPr="00122E7C">
        <w:rPr>
          <w:rFonts w:ascii="Times New Roman" w:eastAsia="Arial" w:hAnsi="Times New Roman" w:cs="Times New Roman"/>
          <w:b/>
          <w:sz w:val="24"/>
          <w:szCs w:val="24"/>
        </w:rPr>
        <w:t>References</w:t>
      </w:r>
    </w:p>
    <w:p w14:paraId="0B076E1D" w14:textId="77777777" w:rsidR="00036058" w:rsidRPr="00B40B7A" w:rsidRDefault="00036058" w:rsidP="00C50D06">
      <w:pPr>
        <w:pStyle w:val="NormaleWeb"/>
        <w:spacing w:line="360" w:lineRule="auto"/>
        <w:rPr>
          <w:color w:val="222222"/>
          <w:shd w:val="clear" w:color="auto" w:fill="FFFFFF"/>
          <w:lang w:val="en-GB"/>
        </w:rPr>
      </w:pPr>
      <w:r w:rsidRPr="00E525D7">
        <w:rPr>
          <w:color w:val="222222"/>
          <w:shd w:val="clear" w:color="auto" w:fill="FFFFFF"/>
          <w:lang w:val="en-GB"/>
        </w:rPr>
        <w:lastRenderedPageBreak/>
        <w:t xml:space="preserve">Graham, C. A. M., </w:t>
      </w:r>
      <w:proofErr w:type="spellStart"/>
      <w:r w:rsidRPr="00E525D7">
        <w:rPr>
          <w:color w:val="222222"/>
          <w:shd w:val="clear" w:color="auto" w:fill="FFFFFF"/>
          <w:lang w:val="en-GB"/>
        </w:rPr>
        <w:t>Pilic</w:t>
      </w:r>
      <w:proofErr w:type="spellEnd"/>
      <w:r w:rsidRPr="00E525D7">
        <w:rPr>
          <w:color w:val="222222"/>
          <w:shd w:val="clear" w:color="auto" w:fill="FFFFFF"/>
          <w:lang w:val="en-GB"/>
        </w:rPr>
        <w:t xml:space="preserve">, L., </w:t>
      </w:r>
      <w:proofErr w:type="spellStart"/>
      <w:r w:rsidRPr="00E525D7">
        <w:rPr>
          <w:color w:val="222222"/>
          <w:shd w:val="clear" w:color="auto" w:fill="FFFFFF"/>
          <w:lang w:val="en-GB"/>
        </w:rPr>
        <w:t>Mcgrigor</w:t>
      </w:r>
      <w:proofErr w:type="spellEnd"/>
      <w:r w:rsidRPr="00E525D7">
        <w:rPr>
          <w:color w:val="222222"/>
          <w:shd w:val="clear" w:color="auto" w:fill="FFFFFF"/>
          <w:lang w:val="en-GB"/>
        </w:rPr>
        <w:t xml:space="preserve">, E., Brown, M., Easton, I. J., Kean, J. N., ... &amp; </w:t>
      </w:r>
      <w:proofErr w:type="spellStart"/>
      <w:r w:rsidRPr="00E525D7">
        <w:rPr>
          <w:color w:val="222222"/>
          <w:shd w:val="clear" w:color="auto" w:fill="FFFFFF"/>
          <w:lang w:val="en-GB"/>
        </w:rPr>
        <w:t>Mavrommatis</w:t>
      </w:r>
      <w:proofErr w:type="spellEnd"/>
      <w:r w:rsidRPr="00E525D7">
        <w:rPr>
          <w:color w:val="222222"/>
          <w:shd w:val="clear" w:color="auto" w:fill="FFFFFF"/>
          <w:lang w:val="en-GB"/>
        </w:rPr>
        <w:t xml:space="preserve">, Y. (2021). The associations between bitter and fat taste sensitivity, and dietary fat intake: Are they impacted by genetic </w:t>
      </w:r>
      <w:proofErr w:type="gramStart"/>
      <w:r w:rsidRPr="00E525D7">
        <w:rPr>
          <w:color w:val="222222"/>
          <w:shd w:val="clear" w:color="auto" w:fill="FFFFFF"/>
          <w:lang w:val="en-GB"/>
        </w:rPr>
        <w:t>predisposition?.</w:t>
      </w:r>
      <w:proofErr w:type="gramEnd"/>
      <w:r w:rsidRPr="00E525D7">
        <w:rPr>
          <w:color w:val="222222"/>
          <w:shd w:val="clear" w:color="auto" w:fill="FFFFFF"/>
          <w:lang w:val="en-GB"/>
        </w:rPr>
        <w:t> </w:t>
      </w:r>
      <w:r w:rsidRPr="00B40B7A">
        <w:rPr>
          <w:i/>
          <w:iCs/>
          <w:color w:val="222222"/>
          <w:shd w:val="clear" w:color="auto" w:fill="FFFFFF"/>
          <w:lang w:val="en-GB"/>
        </w:rPr>
        <w:t>Chemical Senses</w:t>
      </w:r>
      <w:r w:rsidRPr="00B40B7A">
        <w:rPr>
          <w:color w:val="222222"/>
          <w:shd w:val="clear" w:color="auto" w:fill="FFFFFF"/>
          <w:lang w:val="en-GB"/>
        </w:rPr>
        <w:t>, </w:t>
      </w:r>
      <w:r w:rsidRPr="00B40B7A">
        <w:rPr>
          <w:i/>
          <w:iCs/>
          <w:color w:val="222222"/>
          <w:shd w:val="clear" w:color="auto" w:fill="FFFFFF"/>
          <w:lang w:val="en-GB"/>
        </w:rPr>
        <w:t>46</w:t>
      </w:r>
      <w:r w:rsidRPr="00B40B7A">
        <w:rPr>
          <w:color w:val="222222"/>
          <w:shd w:val="clear" w:color="auto" w:fill="FFFFFF"/>
          <w:lang w:val="en-GB"/>
        </w:rPr>
        <w:t>, bjab029.</w:t>
      </w:r>
    </w:p>
    <w:p w14:paraId="6113E6C6" w14:textId="6F47FF52" w:rsidR="002F44AE" w:rsidRPr="00B40B7A" w:rsidRDefault="002F44AE" w:rsidP="00C50D06">
      <w:pPr>
        <w:pStyle w:val="NormaleWeb"/>
        <w:spacing w:line="360" w:lineRule="auto"/>
        <w:rPr>
          <w:lang w:val="en-GB"/>
        </w:rPr>
      </w:pPr>
      <w:r w:rsidRPr="00E525D7">
        <w:rPr>
          <w:lang w:val="en-GB"/>
        </w:rPr>
        <w:t xml:space="preserve">Hummel, T., </w:t>
      </w:r>
      <w:proofErr w:type="spellStart"/>
      <w:r w:rsidRPr="00E525D7">
        <w:rPr>
          <w:lang w:val="en-GB"/>
        </w:rPr>
        <w:t>Konnerth</w:t>
      </w:r>
      <w:proofErr w:type="spellEnd"/>
      <w:r w:rsidRPr="00E525D7">
        <w:rPr>
          <w:lang w:val="en-GB"/>
        </w:rPr>
        <w:t xml:space="preserve">, C. G., Rosenheim, K., &amp; </w:t>
      </w:r>
      <w:proofErr w:type="spellStart"/>
      <w:r w:rsidRPr="00E525D7">
        <w:rPr>
          <w:lang w:val="en-GB"/>
        </w:rPr>
        <w:t>Kobal</w:t>
      </w:r>
      <w:proofErr w:type="spellEnd"/>
      <w:r w:rsidRPr="00E525D7">
        <w:rPr>
          <w:lang w:val="en-GB"/>
        </w:rPr>
        <w:t xml:space="preserve">, G. (2001). Screening of olfactory function with a four-minute </w:t>
      </w:r>
      <w:proofErr w:type="spellStart"/>
      <w:r w:rsidRPr="00E525D7">
        <w:rPr>
          <w:lang w:val="en-GB"/>
        </w:rPr>
        <w:t>odor</w:t>
      </w:r>
      <w:proofErr w:type="spellEnd"/>
      <w:r w:rsidRPr="00E525D7">
        <w:rPr>
          <w:lang w:val="en-GB"/>
        </w:rPr>
        <w:t xml:space="preserve"> identification test: Reliability, normative data, and investigations in patients with olfactory loss. </w:t>
      </w:r>
      <w:r w:rsidRPr="00E525D7">
        <w:rPr>
          <w:rStyle w:val="Enfasicorsivo"/>
          <w:lang w:val="en-GB"/>
        </w:rPr>
        <w:t>Annals of Otology, Rhinology &amp; Laryngology, 110</w:t>
      </w:r>
      <w:r w:rsidRPr="00E525D7">
        <w:rPr>
          <w:lang w:val="en-GB"/>
        </w:rPr>
        <w:t xml:space="preserve">(10), 976–981. </w:t>
      </w:r>
      <w:hyperlink r:id="rId9" w:history="1">
        <w:r w:rsidRPr="00E525D7">
          <w:rPr>
            <w:rStyle w:val="Collegamentoipertestuale"/>
            <w:lang w:val="en-GB"/>
          </w:rPr>
          <w:t>https://doi.org/10.1177/000348940111001015</w:t>
        </w:r>
      </w:hyperlink>
    </w:p>
    <w:p w14:paraId="381AD47E" w14:textId="262507DD" w:rsidR="00036058" w:rsidRPr="00E525D7" w:rsidRDefault="00036058" w:rsidP="00C50D06">
      <w:pPr>
        <w:pStyle w:val="NormaleWeb"/>
        <w:spacing w:line="360" w:lineRule="auto"/>
        <w:rPr>
          <w:color w:val="222222"/>
          <w:shd w:val="clear" w:color="auto" w:fill="FFFFFF"/>
          <w:lang w:val="en-GB"/>
        </w:rPr>
      </w:pPr>
      <w:r w:rsidRPr="00E525D7">
        <w:rPr>
          <w:color w:val="222222"/>
          <w:shd w:val="clear" w:color="auto" w:fill="FFFFFF"/>
          <w:lang w:val="en-GB"/>
        </w:rPr>
        <w:t xml:space="preserve">Khan, A. S., Murtaza, B., </w:t>
      </w:r>
      <w:proofErr w:type="spellStart"/>
      <w:r w:rsidRPr="00E525D7">
        <w:rPr>
          <w:color w:val="222222"/>
          <w:shd w:val="clear" w:color="auto" w:fill="FFFFFF"/>
          <w:lang w:val="en-GB"/>
        </w:rPr>
        <w:t>Hichami</w:t>
      </w:r>
      <w:proofErr w:type="spellEnd"/>
      <w:r w:rsidRPr="00E525D7">
        <w:rPr>
          <w:color w:val="222222"/>
          <w:shd w:val="clear" w:color="auto" w:fill="FFFFFF"/>
          <w:lang w:val="en-GB"/>
        </w:rPr>
        <w:t>, A., &amp; Khan, N. A. (2019). A cross-talk between fat and bitter taste modalities. </w:t>
      </w:r>
      <w:proofErr w:type="spellStart"/>
      <w:r w:rsidRPr="00E525D7">
        <w:rPr>
          <w:i/>
          <w:iCs/>
          <w:color w:val="222222"/>
          <w:shd w:val="clear" w:color="auto" w:fill="FFFFFF"/>
          <w:lang w:val="en-GB"/>
        </w:rPr>
        <w:t>Biochimie</w:t>
      </w:r>
      <w:proofErr w:type="spellEnd"/>
      <w:r w:rsidRPr="00E525D7">
        <w:rPr>
          <w:color w:val="222222"/>
          <w:shd w:val="clear" w:color="auto" w:fill="FFFFFF"/>
          <w:lang w:val="en-GB"/>
        </w:rPr>
        <w:t>, </w:t>
      </w:r>
      <w:r w:rsidRPr="00E525D7">
        <w:rPr>
          <w:i/>
          <w:iCs/>
          <w:color w:val="222222"/>
          <w:shd w:val="clear" w:color="auto" w:fill="FFFFFF"/>
          <w:lang w:val="en-GB"/>
        </w:rPr>
        <w:t>159</w:t>
      </w:r>
      <w:r w:rsidRPr="00E525D7">
        <w:rPr>
          <w:color w:val="222222"/>
          <w:shd w:val="clear" w:color="auto" w:fill="FFFFFF"/>
          <w:lang w:val="en-GB"/>
        </w:rPr>
        <w:t>, 3-8.</w:t>
      </w:r>
    </w:p>
    <w:p w14:paraId="45D2E378" w14:textId="704523A7" w:rsidR="00036058" w:rsidRPr="00E525D7" w:rsidRDefault="00036058" w:rsidP="00C50D06">
      <w:pPr>
        <w:pStyle w:val="NormaleWeb"/>
        <w:spacing w:line="360" w:lineRule="auto"/>
        <w:rPr>
          <w:lang w:val="en-GB"/>
        </w:rPr>
      </w:pPr>
      <w:r w:rsidRPr="00E525D7">
        <w:rPr>
          <w:color w:val="222222"/>
          <w:shd w:val="clear" w:color="auto" w:fill="FFFFFF"/>
          <w:lang w:val="en-GB"/>
        </w:rPr>
        <w:t>Mattes, R. D. (2011). Accumulating evidence supports a taste component for free fatty acids in humans. </w:t>
      </w:r>
      <w:r w:rsidRPr="00B40B7A">
        <w:rPr>
          <w:i/>
          <w:iCs/>
          <w:color w:val="222222"/>
          <w:shd w:val="clear" w:color="auto" w:fill="FFFFFF"/>
          <w:lang w:val="en-GB"/>
        </w:rPr>
        <w:t xml:space="preserve">Physiology &amp; </w:t>
      </w:r>
      <w:proofErr w:type="spellStart"/>
      <w:r w:rsidRPr="00B40B7A">
        <w:rPr>
          <w:i/>
          <w:iCs/>
          <w:color w:val="222222"/>
          <w:shd w:val="clear" w:color="auto" w:fill="FFFFFF"/>
          <w:lang w:val="en-GB"/>
        </w:rPr>
        <w:t>behavior</w:t>
      </w:r>
      <w:proofErr w:type="spellEnd"/>
      <w:r w:rsidRPr="00B40B7A">
        <w:rPr>
          <w:color w:val="222222"/>
          <w:shd w:val="clear" w:color="auto" w:fill="FFFFFF"/>
          <w:lang w:val="en-GB"/>
        </w:rPr>
        <w:t>, </w:t>
      </w:r>
      <w:r w:rsidRPr="00B40B7A">
        <w:rPr>
          <w:i/>
          <w:iCs/>
          <w:color w:val="222222"/>
          <w:shd w:val="clear" w:color="auto" w:fill="FFFFFF"/>
          <w:lang w:val="en-GB"/>
        </w:rPr>
        <w:t>104</w:t>
      </w:r>
      <w:r w:rsidRPr="00B40B7A">
        <w:rPr>
          <w:color w:val="222222"/>
          <w:shd w:val="clear" w:color="auto" w:fill="FFFFFF"/>
          <w:lang w:val="en-GB"/>
        </w:rPr>
        <w:t>(4), 624-631.</w:t>
      </w:r>
    </w:p>
    <w:p w14:paraId="297199D4" w14:textId="77777777" w:rsidR="00C8551B" w:rsidRPr="00E525D7" w:rsidRDefault="00C8551B" w:rsidP="00C50D06">
      <w:pPr>
        <w:pStyle w:val="NormaleWeb"/>
        <w:spacing w:line="360" w:lineRule="auto"/>
        <w:rPr>
          <w:lang w:val="en-GB"/>
        </w:rPr>
      </w:pPr>
      <w:proofErr w:type="spellStart"/>
      <w:r w:rsidRPr="00E525D7">
        <w:rPr>
          <w:lang w:val="en-GB"/>
        </w:rPr>
        <w:t>Mehling</w:t>
      </w:r>
      <w:proofErr w:type="spellEnd"/>
      <w:r w:rsidRPr="00E525D7">
        <w:rPr>
          <w:lang w:val="en-GB"/>
        </w:rPr>
        <w:t xml:space="preserve">, W. E., Price, C., </w:t>
      </w:r>
      <w:proofErr w:type="spellStart"/>
      <w:r w:rsidRPr="00E525D7">
        <w:rPr>
          <w:lang w:val="en-GB"/>
        </w:rPr>
        <w:t>Daubenmier</w:t>
      </w:r>
      <w:proofErr w:type="spellEnd"/>
      <w:r w:rsidRPr="00E525D7">
        <w:rPr>
          <w:lang w:val="en-GB"/>
        </w:rPr>
        <w:t xml:space="preserve">, J. J., </w:t>
      </w:r>
      <w:proofErr w:type="spellStart"/>
      <w:r w:rsidRPr="00E525D7">
        <w:rPr>
          <w:lang w:val="en-GB"/>
        </w:rPr>
        <w:t>Acree</w:t>
      </w:r>
      <w:proofErr w:type="spellEnd"/>
      <w:r w:rsidRPr="00E525D7">
        <w:rPr>
          <w:lang w:val="en-GB"/>
        </w:rPr>
        <w:t xml:space="preserve">, M., </w:t>
      </w:r>
      <w:proofErr w:type="spellStart"/>
      <w:r w:rsidRPr="00E525D7">
        <w:rPr>
          <w:lang w:val="en-GB"/>
        </w:rPr>
        <w:t>Bartmess</w:t>
      </w:r>
      <w:proofErr w:type="spellEnd"/>
      <w:r w:rsidRPr="00E525D7">
        <w:rPr>
          <w:lang w:val="en-GB"/>
        </w:rPr>
        <w:t xml:space="preserve">, E., &amp; Stewart, A. (2012). The Multidimensional Assessment of Interoceptive Awareness (MAIA). </w:t>
      </w:r>
      <w:proofErr w:type="spellStart"/>
      <w:r w:rsidRPr="00E525D7">
        <w:rPr>
          <w:rStyle w:val="Enfasicorsivo"/>
          <w:lang w:val="en-GB"/>
        </w:rPr>
        <w:t>PLoS</w:t>
      </w:r>
      <w:proofErr w:type="spellEnd"/>
      <w:r w:rsidRPr="00E525D7">
        <w:rPr>
          <w:rStyle w:val="Enfasicorsivo"/>
          <w:lang w:val="en-GB"/>
        </w:rPr>
        <w:t xml:space="preserve"> ONE, 7</w:t>
      </w:r>
      <w:r w:rsidRPr="00E525D7">
        <w:rPr>
          <w:lang w:val="en-GB"/>
        </w:rPr>
        <w:t xml:space="preserve">(11), e48230. </w:t>
      </w:r>
      <w:hyperlink r:id="rId10" w:history="1">
        <w:r w:rsidRPr="00E525D7">
          <w:rPr>
            <w:rStyle w:val="Collegamentoipertestuale"/>
            <w:lang w:val="en-GB"/>
          </w:rPr>
          <w:t>https://doi.org/10.1371/journal.pone.0048230</w:t>
        </w:r>
      </w:hyperlink>
    </w:p>
    <w:p w14:paraId="06272A31" w14:textId="77777777" w:rsidR="00C8551B" w:rsidRPr="00E525D7" w:rsidRDefault="00C8551B" w:rsidP="00C50D06">
      <w:pPr>
        <w:pStyle w:val="NormaleWeb"/>
        <w:spacing w:line="360" w:lineRule="auto"/>
      </w:pPr>
      <w:proofErr w:type="spellStart"/>
      <w:r w:rsidRPr="00E525D7">
        <w:rPr>
          <w:lang w:val="en-GB"/>
        </w:rPr>
        <w:t>Tellegen</w:t>
      </w:r>
      <w:proofErr w:type="spellEnd"/>
      <w:r w:rsidRPr="00E525D7">
        <w:rPr>
          <w:lang w:val="en-GB"/>
        </w:rPr>
        <w:t xml:space="preserve">, A., &amp; Atkinson, G. (1974). Openness to absorbing and self-altering experiences ("absorption"), a trait related to hypnotic susceptibility. </w:t>
      </w:r>
      <w:r w:rsidRPr="00E525D7">
        <w:rPr>
          <w:rStyle w:val="Enfasicorsivo"/>
        </w:rPr>
        <w:t xml:space="preserve">Journal of </w:t>
      </w:r>
      <w:proofErr w:type="spellStart"/>
      <w:r w:rsidRPr="00E525D7">
        <w:rPr>
          <w:rStyle w:val="Enfasicorsivo"/>
        </w:rPr>
        <w:t>Abnormal</w:t>
      </w:r>
      <w:proofErr w:type="spellEnd"/>
      <w:r w:rsidRPr="00E525D7">
        <w:rPr>
          <w:rStyle w:val="Enfasicorsivo"/>
        </w:rPr>
        <w:t xml:space="preserve"> </w:t>
      </w:r>
      <w:proofErr w:type="spellStart"/>
      <w:r w:rsidRPr="00E525D7">
        <w:rPr>
          <w:rStyle w:val="Enfasicorsivo"/>
        </w:rPr>
        <w:t>Psychology</w:t>
      </w:r>
      <w:proofErr w:type="spellEnd"/>
      <w:r w:rsidRPr="00E525D7">
        <w:rPr>
          <w:rStyle w:val="Enfasicorsivo"/>
        </w:rPr>
        <w:t>, 83</w:t>
      </w:r>
      <w:r w:rsidRPr="00E525D7">
        <w:t xml:space="preserve">(3), 268–277. </w:t>
      </w:r>
      <w:hyperlink r:id="rId11" w:history="1">
        <w:r w:rsidRPr="00E525D7">
          <w:rPr>
            <w:rStyle w:val="Collegamentoipertestuale"/>
          </w:rPr>
          <w:t>https://doi.org/10.1037/h0036681</w:t>
        </w:r>
      </w:hyperlink>
    </w:p>
    <w:p w14:paraId="1AA73F01" w14:textId="77777777" w:rsidR="00C8551B" w:rsidRPr="00A7676C" w:rsidRDefault="00C8551B" w:rsidP="00C50D06">
      <w:pPr>
        <w:spacing w:before="280" w:line="360" w:lineRule="auto"/>
        <w:rPr>
          <w:rFonts w:ascii="Times New Roman" w:eastAsia="Arial" w:hAnsi="Times New Roman" w:cs="Times New Roman"/>
          <w:sz w:val="24"/>
          <w:szCs w:val="24"/>
        </w:rPr>
      </w:pPr>
    </w:p>
    <w:sectPr w:rsidR="00C8551B" w:rsidRPr="00A7676C">
      <w:pgSz w:w="11906" w:h="16838"/>
      <w:pgMar w:top="1417" w:right="1134" w:bottom="1134" w:left="1134" w:header="708" w:footer="708"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4FB10F" w16cex:dateUtc="2026-08-26T10:30:00Z"/>
  <w16cex:commentExtensible w16cex:durableId="2179672B" w16cex:dateUtc="2026-08-26T10:41: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713C4436-523E-44B5-9FB5-0C873899249B}"/>
    <w:embedBold r:id="rId2" w:fontKey="{3D529CC2-8A76-467A-806B-A1E2FE44B209}"/>
    <w:embedItalic r:id="rId3" w:fontKey="{35D949E4-243B-4A10-9069-5DF601BA154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250D75C-EAD1-43AD-A180-452512C708FB}"/>
  </w:font>
  <w:font w:name="Segoe UI">
    <w:panose1 w:val="020B0502040204020203"/>
    <w:charset w:val="00"/>
    <w:family w:val="swiss"/>
    <w:pitch w:val="variable"/>
    <w:sig w:usb0="E4002EFF" w:usb1="C000E47F" w:usb2="00000009" w:usb3="00000000" w:csb0="000001FF" w:csb1="00000000"/>
    <w:embedRegular r:id="rId5" w:fontKey="{710B069C-9708-45A2-A9E0-3F2E5094801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embedRegular r:id="rId6" w:fontKey="{79E5F275-7998-43A3-A225-9EFD986081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B1C"/>
    <w:rsid w:val="00032C0B"/>
    <w:rsid w:val="00036058"/>
    <w:rsid w:val="00096BB3"/>
    <w:rsid w:val="00122E7C"/>
    <w:rsid w:val="00170246"/>
    <w:rsid w:val="001A32A8"/>
    <w:rsid w:val="0022491D"/>
    <w:rsid w:val="00254374"/>
    <w:rsid w:val="00277C4B"/>
    <w:rsid w:val="002916EE"/>
    <w:rsid w:val="002A0122"/>
    <w:rsid w:val="002C18D3"/>
    <w:rsid w:val="002F44AE"/>
    <w:rsid w:val="00326B1C"/>
    <w:rsid w:val="00382F62"/>
    <w:rsid w:val="003B2746"/>
    <w:rsid w:val="004079BE"/>
    <w:rsid w:val="00474D37"/>
    <w:rsid w:val="00601EA8"/>
    <w:rsid w:val="00835552"/>
    <w:rsid w:val="008A3A92"/>
    <w:rsid w:val="009268AE"/>
    <w:rsid w:val="0094017B"/>
    <w:rsid w:val="00986714"/>
    <w:rsid w:val="0098738E"/>
    <w:rsid w:val="009E22B4"/>
    <w:rsid w:val="00A414E6"/>
    <w:rsid w:val="00A7676C"/>
    <w:rsid w:val="00B40B7A"/>
    <w:rsid w:val="00B526A2"/>
    <w:rsid w:val="00BC14DA"/>
    <w:rsid w:val="00C50D06"/>
    <w:rsid w:val="00C8551B"/>
    <w:rsid w:val="00CA7B02"/>
    <w:rsid w:val="00CC7B41"/>
    <w:rsid w:val="00D51843"/>
    <w:rsid w:val="00D718A2"/>
    <w:rsid w:val="00DE458D"/>
    <w:rsid w:val="00E525D7"/>
    <w:rsid w:val="00EA58F2"/>
    <w:rsid w:val="00F81306"/>
    <w:rsid w:val="00FB259E"/>
    <w:rsid w:val="00FC624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7471"/>
  <w15:docId w15:val="{0666992E-4774-4207-B5CD-163B7F266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it-I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120"/>
      <w:outlineLvl w:val="0"/>
    </w:pPr>
    <w:rPr>
      <w:b/>
      <w:bCs/>
      <w:sz w:val="48"/>
      <w:szCs w:val="48"/>
    </w:rPr>
  </w:style>
  <w:style w:type="paragraph" w:styleId="Titolo2">
    <w:name w:val="heading 2"/>
    <w:basedOn w:val="Normale"/>
    <w:next w:val="Normale"/>
    <w:uiPriority w:val="9"/>
    <w:unhideWhenUsed/>
    <w:qFormat/>
    <w:pPr>
      <w:keepNext/>
      <w:keepLines/>
      <w:spacing w:before="360" w:after="80"/>
      <w:outlineLvl w:val="1"/>
    </w:pPr>
    <w:rPr>
      <w:b/>
      <w:bCs/>
      <w:sz w:val="36"/>
      <w:szCs w:val="36"/>
    </w:rPr>
  </w:style>
  <w:style w:type="paragraph" w:styleId="Titolo3">
    <w:name w:val="heading 3"/>
    <w:basedOn w:val="Normale"/>
    <w:next w:val="Normale"/>
    <w:link w:val="Titolo3Carattere"/>
    <w:uiPriority w:val="9"/>
    <w:unhideWhenUsed/>
    <w:qFormat/>
    <w:pPr>
      <w:spacing w:line="240" w:lineRule="auto"/>
      <w:outlineLvl w:val="2"/>
    </w:pPr>
    <w:rPr>
      <w:rFonts w:ascii="Times New Roman" w:eastAsia="Times New Roman" w:hAnsi="Times New Roman" w:cs="Times New Roman"/>
      <w:b/>
      <w:bCs/>
      <w:sz w:val="27"/>
      <w:szCs w:val="27"/>
    </w:rPr>
  </w:style>
  <w:style w:type="paragraph" w:styleId="Titolo4">
    <w:name w:val="heading 4"/>
    <w:basedOn w:val="Normale"/>
    <w:next w:val="Normale"/>
    <w:uiPriority w:val="9"/>
    <w:semiHidden/>
    <w:unhideWhenUsed/>
    <w:qFormat/>
    <w:pPr>
      <w:keepNext/>
      <w:keepLines/>
      <w:spacing w:before="240" w:after="40"/>
      <w:outlineLvl w:val="3"/>
    </w:pPr>
    <w:rPr>
      <w:b/>
      <w:bCs/>
      <w:sz w:val="24"/>
      <w:szCs w:val="24"/>
    </w:rPr>
  </w:style>
  <w:style w:type="paragraph" w:styleId="Titolo5">
    <w:name w:val="heading 5"/>
    <w:basedOn w:val="Normale"/>
    <w:next w:val="Normale"/>
    <w:uiPriority w:val="9"/>
    <w:semiHidden/>
    <w:unhideWhenUsed/>
    <w:qFormat/>
    <w:pPr>
      <w:keepNext/>
      <w:keepLines/>
      <w:spacing w:before="220" w:after="40"/>
      <w:outlineLvl w:val="4"/>
    </w:pPr>
    <w:rPr>
      <w:b/>
      <w:bCs/>
    </w:rPr>
  </w:style>
  <w:style w:type="paragraph" w:styleId="Titolo6">
    <w:name w:val="heading 6"/>
    <w:basedOn w:val="Normale"/>
    <w:next w:val="Normale"/>
    <w:uiPriority w:val="9"/>
    <w:semiHidden/>
    <w:unhideWhenUsed/>
    <w:qFormat/>
    <w:pPr>
      <w:keepNext/>
      <w:keepLines/>
      <w:spacing w:before="200" w:after="40"/>
      <w:outlineLvl w:val="5"/>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 w:type="character" w:styleId="Rimandocommento">
    <w:name w:val="annotation reference"/>
    <w:basedOn w:val="Carpredefinitoparagrafo"/>
    <w:uiPriority w:val="99"/>
    <w:semiHidden/>
    <w:unhideWhenUsed/>
    <w:rsid w:val="008A3A92"/>
    <w:rPr>
      <w:sz w:val="16"/>
      <w:szCs w:val="16"/>
    </w:rPr>
  </w:style>
  <w:style w:type="paragraph" w:styleId="Testocommento">
    <w:name w:val="annotation text"/>
    <w:basedOn w:val="Normale"/>
    <w:link w:val="TestocommentoCarattere"/>
    <w:uiPriority w:val="99"/>
    <w:unhideWhenUsed/>
    <w:rsid w:val="008A3A92"/>
    <w:pPr>
      <w:spacing w:line="240" w:lineRule="auto"/>
    </w:pPr>
    <w:rPr>
      <w:sz w:val="20"/>
      <w:szCs w:val="20"/>
    </w:rPr>
  </w:style>
  <w:style w:type="character" w:customStyle="1" w:styleId="TestocommentoCarattere">
    <w:name w:val="Testo commento Carattere"/>
    <w:basedOn w:val="Carpredefinitoparagrafo"/>
    <w:link w:val="Testocommento"/>
    <w:uiPriority w:val="99"/>
    <w:rsid w:val="008A3A92"/>
    <w:rPr>
      <w:sz w:val="20"/>
      <w:szCs w:val="20"/>
    </w:rPr>
  </w:style>
  <w:style w:type="paragraph" w:styleId="Soggettocommento">
    <w:name w:val="annotation subject"/>
    <w:basedOn w:val="Testocommento"/>
    <w:next w:val="Testocommento"/>
    <w:link w:val="SoggettocommentoCarattere"/>
    <w:uiPriority w:val="99"/>
    <w:semiHidden/>
    <w:unhideWhenUsed/>
    <w:rsid w:val="008A3A92"/>
    <w:rPr>
      <w:b/>
      <w:bCs/>
    </w:rPr>
  </w:style>
  <w:style w:type="character" w:customStyle="1" w:styleId="SoggettocommentoCarattere">
    <w:name w:val="Soggetto commento Carattere"/>
    <w:basedOn w:val="TestocommentoCarattere"/>
    <w:link w:val="Soggettocommento"/>
    <w:uiPriority w:val="99"/>
    <w:semiHidden/>
    <w:rsid w:val="008A3A92"/>
    <w:rPr>
      <w:b/>
      <w:bCs/>
      <w:sz w:val="20"/>
      <w:szCs w:val="20"/>
    </w:rPr>
  </w:style>
  <w:style w:type="paragraph" w:styleId="Revisione">
    <w:name w:val="Revision"/>
    <w:hidden/>
    <w:uiPriority w:val="99"/>
    <w:semiHidden/>
    <w:rsid w:val="008A3A92"/>
    <w:pPr>
      <w:spacing w:after="0" w:line="240" w:lineRule="auto"/>
    </w:pPr>
  </w:style>
  <w:style w:type="paragraph" w:styleId="Testofumetto">
    <w:name w:val="Balloon Text"/>
    <w:basedOn w:val="Normale"/>
    <w:link w:val="TestofumettoCarattere"/>
    <w:uiPriority w:val="99"/>
    <w:semiHidden/>
    <w:unhideWhenUsed/>
    <w:rsid w:val="00032C0B"/>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032C0B"/>
    <w:rPr>
      <w:rFonts w:ascii="Segoe UI" w:hAnsi="Segoe UI" w:cs="Segoe UI"/>
      <w:sz w:val="18"/>
      <w:szCs w:val="18"/>
    </w:rPr>
  </w:style>
  <w:style w:type="paragraph" w:styleId="NormaleWeb">
    <w:name w:val="Normal (Web)"/>
    <w:basedOn w:val="Normale"/>
    <w:uiPriority w:val="99"/>
    <w:unhideWhenUsed/>
    <w:rsid w:val="00C8551B"/>
    <w:pPr>
      <w:spacing w:before="100" w:beforeAutospacing="1" w:after="100" w:afterAutospacing="1" w:line="240" w:lineRule="auto"/>
    </w:pPr>
    <w:rPr>
      <w:rFonts w:ascii="Times New Roman" w:eastAsia="Times New Roman" w:hAnsi="Times New Roman" w:cs="Times New Roman"/>
      <w:sz w:val="24"/>
      <w:szCs w:val="24"/>
      <w:lang w:val="it-IT"/>
    </w:rPr>
  </w:style>
  <w:style w:type="character" w:styleId="Enfasicorsivo">
    <w:name w:val="Emphasis"/>
    <w:basedOn w:val="Carpredefinitoparagrafo"/>
    <w:uiPriority w:val="20"/>
    <w:qFormat/>
    <w:rsid w:val="00C8551B"/>
    <w:rPr>
      <w:i/>
      <w:iCs/>
    </w:rPr>
  </w:style>
  <w:style w:type="character" w:styleId="Collegamentoipertestuale">
    <w:name w:val="Hyperlink"/>
    <w:basedOn w:val="Carpredefinitoparagrafo"/>
    <w:uiPriority w:val="99"/>
    <w:semiHidden/>
    <w:unhideWhenUsed/>
    <w:rsid w:val="00C8551B"/>
    <w:rPr>
      <w:color w:val="0000FF"/>
      <w:u w:val="single"/>
    </w:rPr>
  </w:style>
  <w:style w:type="character" w:customStyle="1" w:styleId="Titolo3Carattere">
    <w:name w:val="Titolo 3 Carattere"/>
    <w:basedOn w:val="Carpredefinitoparagrafo"/>
    <w:link w:val="Titolo3"/>
    <w:uiPriority w:val="9"/>
    <w:rsid w:val="00122E7C"/>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234213">
      <w:bodyDiv w:val="1"/>
      <w:marLeft w:val="0"/>
      <w:marRight w:val="0"/>
      <w:marTop w:val="0"/>
      <w:marBottom w:val="0"/>
      <w:divBdr>
        <w:top w:val="none" w:sz="0" w:space="0" w:color="auto"/>
        <w:left w:val="none" w:sz="0" w:space="0" w:color="auto"/>
        <w:bottom w:val="none" w:sz="0" w:space="0" w:color="auto"/>
        <w:right w:val="none" w:sz="0" w:space="0" w:color="auto"/>
      </w:divBdr>
      <w:divsChild>
        <w:div w:id="1427262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532097">
      <w:bodyDiv w:val="1"/>
      <w:marLeft w:val="0"/>
      <w:marRight w:val="0"/>
      <w:marTop w:val="0"/>
      <w:marBottom w:val="0"/>
      <w:divBdr>
        <w:top w:val="none" w:sz="0" w:space="0" w:color="auto"/>
        <w:left w:val="none" w:sz="0" w:space="0" w:color="auto"/>
        <w:bottom w:val="none" w:sz="0" w:space="0" w:color="auto"/>
        <w:right w:val="none" w:sz="0" w:space="0" w:color="auto"/>
      </w:divBdr>
      <w:divsChild>
        <w:div w:id="404912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507840">
      <w:bodyDiv w:val="1"/>
      <w:marLeft w:val="0"/>
      <w:marRight w:val="0"/>
      <w:marTop w:val="0"/>
      <w:marBottom w:val="0"/>
      <w:divBdr>
        <w:top w:val="none" w:sz="0" w:space="0" w:color="auto"/>
        <w:left w:val="none" w:sz="0" w:space="0" w:color="auto"/>
        <w:bottom w:val="none" w:sz="0" w:space="0" w:color="auto"/>
        <w:right w:val="none" w:sz="0" w:space="0" w:color="auto"/>
      </w:divBdr>
      <w:divsChild>
        <w:div w:id="748383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412400">
      <w:bodyDiv w:val="1"/>
      <w:marLeft w:val="0"/>
      <w:marRight w:val="0"/>
      <w:marTop w:val="0"/>
      <w:marBottom w:val="0"/>
      <w:divBdr>
        <w:top w:val="none" w:sz="0" w:space="0" w:color="auto"/>
        <w:left w:val="none" w:sz="0" w:space="0" w:color="auto"/>
        <w:bottom w:val="none" w:sz="0" w:space="0" w:color="auto"/>
        <w:right w:val="none" w:sz="0" w:space="0" w:color="auto"/>
      </w:divBdr>
    </w:div>
    <w:div w:id="2096583123">
      <w:bodyDiv w:val="1"/>
      <w:marLeft w:val="0"/>
      <w:marRight w:val="0"/>
      <w:marTop w:val="0"/>
      <w:marBottom w:val="0"/>
      <w:divBdr>
        <w:top w:val="none" w:sz="0" w:space="0" w:color="auto"/>
        <w:left w:val="none" w:sz="0" w:space="0" w:color="auto"/>
        <w:bottom w:val="none" w:sz="0" w:space="0" w:color="auto"/>
        <w:right w:val="none" w:sz="0" w:space="0" w:color="auto"/>
      </w:divBdr>
      <w:divsChild>
        <w:div w:id="959802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18"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doi.org/10.1037/h0036681" TargetMode="External"/><Relationship Id="rId5" Type="http://schemas.openxmlformats.org/officeDocument/2006/relationships/image" Target="media/image1.png"/><Relationship Id="rId10" Type="http://schemas.openxmlformats.org/officeDocument/2006/relationships/hyperlink" Target="https://doi.org/10.1371/journal.pone.0048230" TargetMode="External"/><Relationship Id="rId4" Type="http://schemas.openxmlformats.org/officeDocument/2006/relationships/webSettings" Target="webSettings.xml"/><Relationship Id="rId9" Type="http://schemas.openxmlformats.org/officeDocument/2006/relationships/hyperlink" Target="https://doi.org/10.1177/00034894011100101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i9YwA3KGGileVabSMhwk4nfq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aDA2MGU5dDE5djlkOAByITEtVm5oYURfTkpxaUt5Zkl4Sml6Uy1idFl2VXhFM3Ry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11</Pages>
  <Words>3248</Words>
  <Characters>18520</Characters>
  <Application>Microsoft Office Word</Application>
  <DocSecurity>0</DocSecurity>
  <Lines>154</Lines>
  <Paragraphs>43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Eleonora</dc:creator>
  <cp:lastModifiedBy>Eleonora</cp:lastModifiedBy>
  <cp:revision>6</cp:revision>
  <dcterms:created xsi:type="dcterms:W3CDTF">2026-08-27T10:03:00Z</dcterms:created>
  <dcterms:modified xsi:type="dcterms:W3CDTF">2026-08-27T12:42:00Z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c516db7d-f5cd-4f9b-84d1-284158003a7e</vt:lpwstr>
  </property>
</Properties>
</file>