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552"/>
        <w:tblW w:w="0" w:type="auto"/>
        <w:tblLook w:val="04A0" w:firstRow="1" w:lastRow="0" w:firstColumn="1" w:lastColumn="0" w:noHBand="0" w:noVBand="1"/>
      </w:tblPr>
      <w:tblGrid>
        <w:gridCol w:w="2102"/>
        <w:gridCol w:w="3229"/>
        <w:gridCol w:w="6430"/>
        <w:gridCol w:w="1134"/>
        <w:gridCol w:w="1053"/>
      </w:tblGrid>
      <w:tr w:rsidR="00D56428" w:rsidRPr="00ED69B5" w:rsidTr="00ED69B5">
        <w:trPr>
          <w:trHeight w:val="811"/>
        </w:trPr>
        <w:tc>
          <w:tcPr>
            <w:tcW w:w="13948" w:type="dxa"/>
            <w:gridSpan w:val="5"/>
            <w:tcBorders>
              <w:top w:val="nil"/>
              <w:left w:val="nil"/>
              <w:bottom w:val="nil"/>
              <w:right w:val="nil"/>
            </w:tcBorders>
            <w:noWrap/>
            <w:vAlign w:val="center"/>
            <w:hideMark/>
          </w:tcPr>
          <w:p w:rsidR="00D56428" w:rsidRPr="00ED69B5" w:rsidRDefault="00D56428" w:rsidP="00EB18A6">
            <w:pPr>
              <w:tabs>
                <w:tab w:val="center" w:pos="6866"/>
                <w:tab w:val="left" w:pos="9732"/>
              </w:tabs>
              <w:jc w:val="center"/>
              <w:rPr>
                <w:rFonts w:asciiTheme="majorBidi" w:hAnsiTheme="majorBidi" w:cstheme="majorBidi"/>
                <w:b/>
                <w:bCs/>
                <w:sz w:val="24"/>
                <w:szCs w:val="24"/>
              </w:rPr>
            </w:pPr>
            <w:r w:rsidRPr="00ED69B5">
              <w:rPr>
                <w:rFonts w:asciiTheme="majorBidi" w:hAnsiTheme="majorBidi" w:cstheme="majorBidi"/>
                <w:b/>
                <w:bCs/>
                <w:sz w:val="24"/>
                <w:szCs w:val="24"/>
              </w:rPr>
              <w:t>Independent Petroleum Group k.s.c.p</w:t>
            </w:r>
          </w:p>
          <w:p w:rsidR="00EB18A6" w:rsidRPr="00ED69B5" w:rsidRDefault="00EB18A6" w:rsidP="00EB18A6">
            <w:pPr>
              <w:tabs>
                <w:tab w:val="center" w:pos="6866"/>
                <w:tab w:val="left" w:pos="9732"/>
              </w:tabs>
              <w:jc w:val="center"/>
              <w:rPr>
                <w:rFonts w:asciiTheme="majorBidi" w:hAnsiTheme="majorBidi" w:cstheme="majorBidi"/>
                <w:b/>
                <w:bCs/>
                <w:sz w:val="24"/>
                <w:szCs w:val="24"/>
              </w:rPr>
            </w:pPr>
            <w:r w:rsidRPr="00ED69B5">
              <w:rPr>
                <w:rFonts w:asciiTheme="majorBidi" w:hAnsiTheme="majorBidi" w:cstheme="majorBidi"/>
                <w:b/>
                <w:bCs/>
                <w:sz w:val="24"/>
                <w:szCs w:val="24"/>
              </w:rPr>
              <w:t>Ratio Analysis For 2022 - 2023</w:t>
            </w:r>
          </w:p>
        </w:tc>
      </w:tr>
      <w:tr w:rsidR="00D56428" w:rsidRPr="00ED69B5" w:rsidTr="00ED69B5">
        <w:trPr>
          <w:trHeight w:val="811"/>
        </w:trPr>
        <w:tc>
          <w:tcPr>
            <w:tcW w:w="2102" w:type="dxa"/>
            <w:tcBorders>
              <w:top w:val="single" w:sz="4" w:space="0" w:color="auto"/>
            </w:tcBorders>
            <w:noWrap/>
            <w:vAlign w:val="center"/>
            <w:hideMark/>
          </w:tcPr>
          <w:p w:rsidR="00D56428" w:rsidRPr="00ED69B5" w:rsidRDefault="00D56428" w:rsidP="00A9705F">
            <w:pPr>
              <w:jc w:val="center"/>
              <w:rPr>
                <w:rFonts w:asciiTheme="majorBidi" w:hAnsiTheme="majorBidi" w:cstheme="majorBidi"/>
                <w:b/>
                <w:bCs/>
                <w:sz w:val="24"/>
                <w:szCs w:val="24"/>
              </w:rPr>
            </w:pPr>
            <w:r w:rsidRPr="00ED69B5">
              <w:rPr>
                <w:rFonts w:asciiTheme="majorBidi" w:hAnsiTheme="majorBidi" w:cstheme="majorBidi"/>
                <w:b/>
                <w:bCs/>
                <w:sz w:val="24"/>
                <w:szCs w:val="24"/>
              </w:rPr>
              <w:t>Category</w:t>
            </w:r>
          </w:p>
        </w:tc>
        <w:tc>
          <w:tcPr>
            <w:tcW w:w="3229" w:type="dxa"/>
            <w:tcBorders>
              <w:top w:val="single" w:sz="4" w:space="0" w:color="auto"/>
            </w:tcBorders>
            <w:noWrap/>
            <w:vAlign w:val="center"/>
            <w:hideMark/>
          </w:tcPr>
          <w:p w:rsidR="00D56428" w:rsidRPr="00ED69B5" w:rsidRDefault="00D56428" w:rsidP="00A9705F">
            <w:pPr>
              <w:jc w:val="center"/>
              <w:rPr>
                <w:rFonts w:asciiTheme="majorBidi" w:hAnsiTheme="majorBidi" w:cstheme="majorBidi"/>
                <w:b/>
                <w:bCs/>
                <w:sz w:val="24"/>
                <w:szCs w:val="24"/>
              </w:rPr>
            </w:pPr>
            <w:r w:rsidRPr="00ED69B5">
              <w:rPr>
                <w:rFonts w:asciiTheme="majorBidi" w:hAnsiTheme="majorBidi" w:cstheme="majorBidi"/>
                <w:b/>
                <w:bCs/>
                <w:sz w:val="24"/>
                <w:szCs w:val="24"/>
              </w:rPr>
              <w:t>Ratio Name</w:t>
            </w:r>
          </w:p>
        </w:tc>
        <w:tc>
          <w:tcPr>
            <w:tcW w:w="6430" w:type="dxa"/>
            <w:tcBorders>
              <w:top w:val="single" w:sz="4" w:space="0" w:color="auto"/>
            </w:tcBorders>
            <w:noWrap/>
            <w:vAlign w:val="center"/>
            <w:hideMark/>
          </w:tcPr>
          <w:p w:rsidR="00D56428" w:rsidRPr="00ED69B5" w:rsidRDefault="00D56428" w:rsidP="00A9705F">
            <w:pPr>
              <w:jc w:val="center"/>
              <w:rPr>
                <w:rFonts w:asciiTheme="majorBidi" w:hAnsiTheme="majorBidi" w:cstheme="majorBidi"/>
                <w:b/>
                <w:bCs/>
                <w:sz w:val="24"/>
                <w:szCs w:val="24"/>
              </w:rPr>
            </w:pPr>
            <w:r w:rsidRPr="00ED69B5">
              <w:rPr>
                <w:rFonts w:asciiTheme="majorBidi" w:hAnsiTheme="majorBidi" w:cstheme="majorBidi"/>
                <w:b/>
                <w:bCs/>
                <w:sz w:val="24"/>
                <w:szCs w:val="24"/>
              </w:rPr>
              <w:t>Formula</w:t>
            </w:r>
          </w:p>
        </w:tc>
        <w:tc>
          <w:tcPr>
            <w:tcW w:w="1134" w:type="dxa"/>
            <w:tcBorders>
              <w:top w:val="single" w:sz="4" w:space="0" w:color="auto"/>
            </w:tcBorders>
            <w:noWrap/>
            <w:vAlign w:val="center"/>
            <w:hideMark/>
          </w:tcPr>
          <w:p w:rsidR="00D56428" w:rsidRPr="00ED69B5" w:rsidRDefault="00D56428" w:rsidP="00A9705F">
            <w:pPr>
              <w:jc w:val="center"/>
              <w:rPr>
                <w:rFonts w:asciiTheme="majorBidi" w:hAnsiTheme="majorBidi" w:cstheme="majorBidi"/>
                <w:b/>
                <w:bCs/>
                <w:sz w:val="24"/>
                <w:szCs w:val="24"/>
              </w:rPr>
            </w:pPr>
            <w:r w:rsidRPr="00ED69B5">
              <w:rPr>
                <w:rFonts w:asciiTheme="majorBidi" w:hAnsiTheme="majorBidi" w:cstheme="majorBidi"/>
                <w:b/>
                <w:bCs/>
                <w:sz w:val="24"/>
                <w:szCs w:val="24"/>
              </w:rPr>
              <w:t>2022 Value (KD)</w:t>
            </w:r>
          </w:p>
        </w:tc>
        <w:tc>
          <w:tcPr>
            <w:tcW w:w="1053" w:type="dxa"/>
            <w:tcBorders>
              <w:top w:val="single" w:sz="4" w:space="0" w:color="auto"/>
            </w:tcBorders>
            <w:noWrap/>
            <w:vAlign w:val="center"/>
            <w:hideMark/>
          </w:tcPr>
          <w:p w:rsidR="00D56428" w:rsidRPr="00ED69B5" w:rsidRDefault="00D56428" w:rsidP="00A9705F">
            <w:pPr>
              <w:jc w:val="center"/>
              <w:rPr>
                <w:rFonts w:asciiTheme="majorBidi" w:hAnsiTheme="majorBidi" w:cstheme="majorBidi"/>
                <w:b/>
                <w:bCs/>
                <w:sz w:val="24"/>
                <w:szCs w:val="24"/>
              </w:rPr>
            </w:pPr>
            <w:r w:rsidRPr="00ED69B5">
              <w:rPr>
                <w:rFonts w:asciiTheme="majorBidi" w:hAnsiTheme="majorBidi" w:cstheme="majorBidi"/>
                <w:b/>
                <w:bCs/>
                <w:sz w:val="24"/>
                <w:szCs w:val="24"/>
              </w:rPr>
              <w:t>2023 Value (KD)</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Liquidity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Current Ratio</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Current Assets / Current Liabilities</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1.1</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1.1</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Liquidity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Quick Ratio</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(Current Assets - Inventory) / Current Liabilities</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1.0</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0.9</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Liquidity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Cash Ratio</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Cash and Cash Equivalents / Current Liabilities</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0.4</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0.2</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Leverage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Debt-to-Equity Ratio</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Total Debt / Equity</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3.4</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3.7</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Leverage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Debt-to-Assets Ratio</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Total Debt / Total Assets</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0.8</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0.8</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Leverage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Interest Coverage Ratio</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EBIT / Interest Expense</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0.7</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0.6</w:t>
            </w:r>
          </w:p>
        </w:tc>
      </w:tr>
      <w:tr w:rsidR="00D56428" w:rsidRPr="00ED69B5" w:rsidTr="00ED69B5">
        <w:trPr>
          <w:trHeight w:val="784"/>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Profitability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Gross Profit Margin</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Gross Profit / Revenue * 100%</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1.5</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1.7</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Profitability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Operating Profit Margin</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Operating Profit / Revenue * 100%</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0.49</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0.77</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Profitability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Net Profit Margin</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Net Profit / Revenue * 100%</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0.47</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0.73</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lastRenderedPageBreak/>
              <w:t>Profitability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Return on Assets (ROA)</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Net Profit / Total Assets * 100%</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1.74</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1.58</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Profitability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Return on Equity (ROE)</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Net Profit / Equity * 100%</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7.65</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7.47</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Efficiency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Inventory Turnover</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Cost of Goods Sold / Average Inventory</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32.74</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26.58</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Efficiency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Asset Turnover</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Net Sales / Total Assets</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3.81</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2.29</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Efficiency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Accounts Receivable Turnover</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Net Credit Sales / Average Accounts Receivable</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26.32</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8.2</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Efficiency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Accounts Payable Turnover</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Cost of Goods Sold / Average Accounts Payable</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22.49</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8.75</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Profitability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Earnings per Share (EPS)</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Net Profit / Outstanding Shares</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42.35</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43.24</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Leverage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Price-to-Earnings Ratio (P/E)</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Share Price / Earnings per Share</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12.04</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10.20</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Leverage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Price-to-Book Ratio</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Share Price / Book Value per Share</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0.039</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0.032</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Profitability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Dividend Yield</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Annual Dividends / Share Price</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5.9</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6.8</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lastRenderedPageBreak/>
              <w:t>Profitability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 xml:space="preserve">Dividend </w:t>
            </w:r>
            <w:proofErr w:type="spellStart"/>
            <w:r w:rsidRPr="00ED69B5">
              <w:rPr>
                <w:rFonts w:asciiTheme="majorBidi" w:hAnsiTheme="majorBidi" w:cstheme="majorBidi"/>
                <w:sz w:val="24"/>
                <w:szCs w:val="24"/>
              </w:rPr>
              <w:t>Payout</w:t>
            </w:r>
            <w:proofErr w:type="spellEnd"/>
            <w:r w:rsidRPr="00ED69B5">
              <w:rPr>
                <w:rFonts w:asciiTheme="majorBidi" w:hAnsiTheme="majorBidi" w:cstheme="majorBidi"/>
                <w:sz w:val="24"/>
                <w:szCs w:val="24"/>
              </w:rPr>
              <w:t xml:space="preserve"> Ratio</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Dividends / Net Profit</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70.8</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69.4</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Efficiency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Average Collection Period</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365 / Accounts Receivable Turnover</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13.9</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44.5</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Efficiency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Average Payment Period</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365 / Accounts Payable Turnover</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16.2</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41.7</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Efficiency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Operating Cycle</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Inventory Holding Period + Receivables Collection Period</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25</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52.2</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Profitability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Return on Invested Capital (ROIC)</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Net Operating Profit After Tax (NOPAT) / (Total Debt + Shareholder's Equity)</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5.1</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5.5</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Liquidity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Operating Cash Flow to Debt Ratio</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Operating Cash Flow / Total Debt</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0.062</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0.07-</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Efficiency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Fixed Asset Productivity Ratio</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Net Sales / Net Fixed Assets</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56.1</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38.65</w:t>
            </w:r>
          </w:p>
        </w:tc>
      </w:tr>
      <w:tr w:rsidR="00D56428" w:rsidRPr="00ED69B5" w:rsidTr="00ED69B5">
        <w:trPr>
          <w:trHeight w:val="811"/>
        </w:trPr>
        <w:tc>
          <w:tcPr>
            <w:tcW w:w="2102"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Efficiency Ratios</w:t>
            </w:r>
          </w:p>
        </w:tc>
        <w:tc>
          <w:tcPr>
            <w:tcW w:w="3229"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Working Capital Turnover</w:t>
            </w:r>
          </w:p>
        </w:tc>
        <w:tc>
          <w:tcPr>
            <w:tcW w:w="6430"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Net Sales / Working Capital</w:t>
            </w:r>
          </w:p>
        </w:tc>
        <w:tc>
          <w:tcPr>
            <w:tcW w:w="1134"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68.05</w:t>
            </w:r>
          </w:p>
        </w:tc>
        <w:tc>
          <w:tcPr>
            <w:tcW w:w="1053" w:type="dxa"/>
            <w:noWrap/>
            <w:vAlign w:val="center"/>
            <w:hideMark/>
          </w:tcPr>
          <w:p w:rsidR="00D56428" w:rsidRPr="00ED69B5" w:rsidRDefault="00D56428" w:rsidP="00A9705F">
            <w:pPr>
              <w:jc w:val="center"/>
              <w:rPr>
                <w:rFonts w:asciiTheme="majorBidi" w:hAnsiTheme="majorBidi" w:cstheme="majorBidi"/>
                <w:sz w:val="24"/>
                <w:szCs w:val="24"/>
              </w:rPr>
            </w:pPr>
            <w:r w:rsidRPr="00ED69B5">
              <w:rPr>
                <w:rFonts w:asciiTheme="majorBidi" w:hAnsiTheme="majorBidi" w:cstheme="majorBidi"/>
                <w:sz w:val="24"/>
                <w:szCs w:val="24"/>
              </w:rPr>
              <w:t>63.65</w:t>
            </w:r>
          </w:p>
        </w:tc>
      </w:tr>
    </w:tbl>
    <w:p w:rsidR="00ED69B5" w:rsidRDefault="00ED69B5">
      <w:pPr>
        <w:rPr>
          <w:rFonts w:asciiTheme="majorBidi" w:hAnsiTheme="majorBidi" w:cstheme="majorBidi"/>
          <w:sz w:val="24"/>
          <w:szCs w:val="24"/>
        </w:rPr>
      </w:pPr>
    </w:p>
    <w:p w:rsidR="004C1CE0" w:rsidRPr="00ED69B5" w:rsidRDefault="00D76C5A" w:rsidP="00ED69B5">
      <w:pPr>
        <w:pStyle w:val="ListParagraph"/>
        <w:numPr>
          <w:ilvl w:val="0"/>
          <w:numId w:val="2"/>
        </w:numPr>
        <w:spacing w:line="276" w:lineRule="auto"/>
        <w:rPr>
          <w:rFonts w:asciiTheme="majorBidi" w:hAnsiTheme="majorBidi" w:cstheme="majorBidi"/>
          <w:sz w:val="24"/>
          <w:szCs w:val="24"/>
        </w:rPr>
      </w:pPr>
      <w:r w:rsidRPr="00ED69B5">
        <w:rPr>
          <w:rFonts w:asciiTheme="majorBidi" w:hAnsiTheme="majorBidi" w:cstheme="majorBidi"/>
          <w:sz w:val="24"/>
          <w:szCs w:val="24"/>
        </w:rPr>
        <w:t xml:space="preserve">The table provides a comprehensive ratio analysis for Independent Petroleum Group k.s.c.p for 2022 and 2023. Key findings show a stable liquidity position with minor deviations in current and short-term ratios. Leverage ratios indicate a slight increase in debt-to-equity ratios, while profitability ratios show improvements in gross and operating profit margins. Efficiency metrics indicate a reduction in inventory turnover, </w:t>
      </w:r>
      <w:r w:rsidR="00ED69B5" w:rsidRPr="00ED69B5">
        <w:rPr>
          <w:rFonts w:asciiTheme="majorBidi" w:hAnsiTheme="majorBidi" w:cstheme="majorBidi"/>
          <w:sz w:val="24"/>
          <w:szCs w:val="24"/>
        </w:rPr>
        <w:t>indicating slower inventory movement. Despite fluctuations in various metrics, the company was able to maintain a stable return on equity (ROE) and return on invested capital (ROIC), reflecting stable overall performance.</w:t>
      </w:r>
      <w:bookmarkStart w:id="0" w:name="_GoBack"/>
      <w:bookmarkEnd w:id="0"/>
    </w:p>
    <w:tbl>
      <w:tblPr>
        <w:tblpPr w:leftFromText="180" w:rightFromText="180" w:horzAnchor="margin" w:tblpXSpec="center" w:tblpY="-252"/>
        <w:tblW w:w="16460" w:type="dxa"/>
        <w:tblLook w:val="04A0" w:firstRow="1" w:lastRow="0" w:firstColumn="1" w:lastColumn="0" w:noHBand="0" w:noVBand="1"/>
      </w:tblPr>
      <w:tblGrid>
        <w:gridCol w:w="3757"/>
        <w:gridCol w:w="756"/>
        <w:gridCol w:w="756"/>
        <w:gridCol w:w="950"/>
        <w:gridCol w:w="10241"/>
      </w:tblGrid>
      <w:tr w:rsidR="00EB18A6" w:rsidRPr="00EB18A6" w:rsidTr="00EB18A6">
        <w:trPr>
          <w:trHeight w:val="313"/>
        </w:trPr>
        <w:tc>
          <w:tcPr>
            <w:tcW w:w="16460" w:type="dxa"/>
            <w:gridSpan w:val="5"/>
            <w:tcBorders>
              <w:top w:val="nil"/>
              <w:left w:val="nil"/>
              <w:bottom w:val="nil"/>
              <w:right w:val="nil"/>
            </w:tcBorders>
            <w:shd w:val="clear" w:color="auto" w:fill="auto"/>
            <w:noWrap/>
            <w:vAlign w:val="center"/>
          </w:tcPr>
          <w:p w:rsidR="00EB18A6" w:rsidRPr="00EB18A6" w:rsidRDefault="00EB18A6" w:rsidP="00EB18A6">
            <w:pPr>
              <w:tabs>
                <w:tab w:val="center" w:pos="6866"/>
                <w:tab w:val="left" w:pos="9732"/>
              </w:tabs>
              <w:spacing w:after="0" w:line="240" w:lineRule="auto"/>
              <w:jc w:val="center"/>
              <w:rPr>
                <w:rFonts w:asciiTheme="majorBidi" w:hAnsiTheme="majorBidi" w:cstheme="majorBidi"/>
                <w:b/>
                <w:bCs/>
                <w:sz w:val="24"/>
                <w:szCs w:val="24"/>
              </w:rPr>
            </w:pPr>
            <w:r w:rsidRPr="00EB18A6">
              <w:rPr>
                <w:rFonts w:asciiTheme="majorBidi" w:hAnsiTheme="majorBidi" w:cstheme="majorBidi"/>
                <w:b/>
                <w:bCs/>
                <w:sz w:val="24"/>
                <w:szCs w:val="24"/>
              </w:rPr>
              <w:lastRenderedPageBreak/>
              <w:t xml:space="preserve">Independent </w:t>
            </w:r>
            <w:r w:rsidRPr="00ED69B5">
              <w:rPr>
                <w:rFonts w:asciiTheme="majorBidi" w:hAnsiTheme="majorBidi" w:cstheme="majorBidi"/>
                <w:b/>
                <w:bCs/>
                <w:sz w:val="24"/>
                <w:szCs w:val="24"/>
              </w:rPr>
              <w:t>Petroleum</w:t>
            </w:r>
            <w:r w:rsidRPr="00EB18A6">
              <w:rPr>
                <w:rFonts w:asciiTheme="majorBidi" w:hAnsiTheme="majorBidi" w:cstheme="majorBidi"/>
                <w:b/>
                <w:bCs/>
                <w:sz w:val="24"/>
                <w:szCs w:val="24"/>
              </w:rPr>
              <w:t xml:space="preserve"> Group k.s.c.p</w:t>
            </w:r>
          </w:p>
        </w:tc>
      </w:tr>
      <w:tr w:rsidR="00EB18A6" w:rsidRPr="00EB18A6" w:rsidTr="00EB18A6">
        <w:trPr>
          <w:trHeight w:val="313"/>
        </w:trPr>
        <w:tc>
          <w:tcPr>
            <w:tcW w:w="16460" w:type="dxa"/>
            <w:gridSpan w:val="5"/>
            <w:tcBorders>
              <w:top w:val="nil"/>
              <w:left w:val="nil"/>
              <w:bottom w:val="nil"/>
              <w:right w:val="nil"/>
            </w:tcBorders>
            <w:shd w:val="clear" w:color="auto" w:fill="auto"/>
            <w:noWrap/>
            <w:vAlign w:val="center"/>
          </w:tcPr>
          <w:p w:rsidR="00EB18A6" w:rsidRPr="00ED69B5" w:rsidRDefault="00EB18A6" w:rsidP="00EB18A6">
            <w:pPr>
              <w:tabs>
                <w:tab w:val="center" w:pos="6866"/>
                <w:tab w:val="left" w:pos="9732"/>
              </w:tabs>
              <w:spacing w:after="0" w:line="240" w:lineRule="auto"/>
              <w:jc w:val="center"/>
              <w:rPr>
                <w:rFonts w:asciiTheme="majorBidi" w:hAnsiTheme="majorBidi" w:cstheme="majorBidi"/>
                <w:b/>
                <w:bCs/>
                <w:sz w:val="24"/>
                <w:szCs w:val="24"/>
              </w:rPr>
            </w:pPr>
            <w:r w:rsidRPr="00EB18A6">
              <w:rPr>
                <w:rFonts w:asciiTheme="majorBidi" w:hAnsiTheme="majorBidi" w:cstheme="majorBidi"/>
                <w:b/>
                <w:bCs/>
                <w:sz w:val="24"/>
                <w:szCs w:val="24"/>
              </w:rPr>
              <w:t xml:space="preserve">Financial Performance Ratios 2022 </w:t>
            </w:r>
            <w:r w:rsidRPr="00ED69B5">
              <w:rPr>
                <w:rFonts w:asciiTheme="majorBidi" w:hAnsiTheme="majorBidi" w:cstheme="majorBidi"/>
                <w:b/>
                <w:bCs/>
                <w:sz w:val="24"/>
                <w:szCs w:val="24"/>
              </w:rPr>
              <w:t>–</w:t>
            </w:r>
            <w:r w:rsidRPr="00EB18A6">
              <w:rPr>
                <w:rFonts w:asciiTheme="majorBidi" w:hAnsiTheme="majorBidi" w:cstheme="majorBidi"/>
                <w:b/>
                <w:bCs/>
                <w:sz w:val="24"/>
                <w:szCs w:val="24"/>
              </w:rPr>
              <w:t xml:space="preserve"> 2023</w:t>
            </w:r>
          </w:p>
          <w:p w:rsidR="00EB18A6" w:rsidRPr="00EB18A6" w:rsidRDefault="00EB18A6" w:rsidP="00EB18A6">
            <w:pPr>
              <w:tabs>
                <w:tab w:val="center" w:pos="6866"/>
                <w:tab w:val="left" w:pos="9732"/>
              </w:tabs>
              <w:spacing w:after="0" w:line="240" w:lineRule="auto"/>
              <w:jc w:val="center"/>
              <w:rPr>
                <w:rFonts w:asciiTheme="majorBidi" w:hAnsiTheme="majorBidi" w:cstheme="majorBidi"/>
                <w:b/>
                <w:bCs/>
                <w:sz w:val="24"/>
                <w:szCs w:val="24"/>
              </w:rPr>
            </w:pPr>
          </w:p>
        </w:tc>
      </w:tr>
      <w:tr w:rsidR="00EB18A6" w:rsidRPr="00EB18A6" w:rsidTr="00EB18A6">
        <w:trPr>
          <w:trHeight w:val="313"/>
        </w:trPr>
        <w:tc>
          <w:tcPr>
            <w:tcW w:w="375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Item</w:t>
            </w:r>
          </w:p>
        </w:tc>
        <w:tc>
          <w:tcPr>
            <w:tcW w:w="756" w:type="dxa"/>
            <w:tcBorders>
              <w:top w:val="single" w:sz="8" w:space="0" w:color="auto"/>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2023</w:t>
            </w:r>
          </w:p>
        </w:tc>
        <w:tc>
          <w:tcPr>
            <w:tcW w:w="756" w:type="dxa"/>
            <w:tcBorders>
              <w:top w:val="single" w:sz="8" w:space="0" w:color="auto"/>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2022</w:t>
            </w:r>
          </w:p>
        </w:tc>
        <w:tc>
          <w:tcPr>
            <w:tcW w:w="950" w:type="dxa"/>
            <w:tcBorders>
              <w:top w:val="single" w:sz="8" w:space="0" w:color="auto"/>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Change</w:t>
            </w:r>
          </w:p>
        </w:tc>
        <w:tc>
          <w:tcPr>
            <w:tcW w:w="10241" w:type="dxa"/>
            <w:tcBorders>
              <w:top w:val="single" w:sz="8" w:space="0" w:color="auto"/>
              <w:left w:val="nil"/>
              <w:bottom w:val="single" w:sz="4" w:space="0" w:color="auto"/>
              <w:right w:val="single" w:sz="8"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Interpretation</w:t>
            </w:r>
          </w:p>
        </w:tc>
      </w:tr>
      <w:tr w:rsidR="00EB18A6" w:rsidRPr="00EB18A6" w:rsidTr="00EB18A6">
        <w:trPr>
          <w:trHeight w:val="313"/>
        </w:trPr>
        <w:tc>
          <w:tcPr>
            <w:tcW w:w="3757" w:type="dxa"/>
            <w:tcBorders>
              <w:top w:val="nil"/>
              <w:left w:val="single" w:sz="8" w:space="0" w:color="auto"/>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Sales (Million KD)</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1068</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1646</w:t>
            </w:r>
          </w:p>
        </w:tc>
        <w:tc>
          <w:tcPr>
            <w:tcW w:w="950"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-35%</w:t>
            </w:r>
          </w:p>
        </w:tc>
        <w:tc>
          <w:tcPr>
            <w:tcW w:w="10241" w:type="dxa"/>
            <w:tcBorders>
              <w:top w:val="nil"/>
              <w:left w:val="nil"/>
              <w:bottom w:val="single" w:sz="4" w:space="0" w:color="auto"/>
              <w:right w:val="single" w:sz="8" w:space="0" w:color="auto"/>
            </w:tcBorders>
            <w:shd w:val="clear" w:color="auto" w:fill="auto"/>
            <w:noWrap/>
            <w:vAlign w:val="center"/>
            <w:hideMark/>
          </w:tcPr>
          <w:p w:rsidR="00EB18A6" w:rsidRPr="00EB18A6" w:rsidRDefault="00375A51" w:rsidP="00EB18A6">
            <w:pPr>
              <w:spacing w:after="0" w:line="240" w:lineRule="auto"/>
              <w:jc w:val="center"/>
              <w:rPr>
                <w:rFonts w:asciiTheme="majorBidi" w:hAnsiTheme="majorBidi" w:cstheme="majorBidi"/>
                <w:sz w:val="24"/>
                <w:szCs w:val="24"/>
              </w:rPr>
            </w:pPr>
            <w:r w:rsidRPr="00ED69B5">
              <w:rPr>
                <w:rFonts w:asciiTheme="majorBidi" w:hAnsiTheme="majorBidi" w:cstheme="majorBidi"/>
                <w:sz w:val="24"/>
                <w:szCs w:val="24"/>
              </w:rPr>
              <w:t>Significant decline in sales from 2022 to 2023, possibly indicating lower activity or demand.</w:t>
            </w:r>
          </w:p>
        </w:tc>
      </w:tr>
      <w:tr w:rsidR="00375A51" w:rsidRPr="00EB18A6" w:rsidTr="00EB18A6">
        <w:trPr>
          <w:trHeight w:val="313"/>
        </w:trPr>
        <w:tc>
          <w:tcPr>
            <w:tcW w:w="3757" w:type="dxa"/>
            <w:tcBorders>
              <w:top w:val="nil"/>
              <w:left w:val="single" w:sz="8" w:space="0" w:color="auto"/>
              <w:bottom w:val="single" w:sz="4" w:space="0" w:color="auto"/>
              <w:right w:val="single" w:sz="4" w:space="0" w:color="auto"/>
            </w:tcBorders>
            <w:shd w:val="clear" w:color="auto" w:fill="auto"/>
            <w:noWrap/>
            <w:vAlign w:val="center"/>
            <w:hideMark/>
          </w:tcPr>
          <w:p w:rsidR="00375A51" w:rsidRPr="00EB18A6" w:rsidRDefault="00375A51" w:rsidP="00375A51">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Profit Margin</w:t>
            </w:r>
          </w:p>
        </w:tc>
        <w:tc>
          <w:tcPr>
            <w:tcW w:w="756" w:type="dxa"/>
            <w:tcBorders>
              <w:top w:val="nil"/>
              <w:left w:val="nil"/>
              <w:bottom w:val="single" w:sz="4" w:space="0" w:color="auto"/>
              <w:right w:val="single" w:sz="4" w:space="0" w:color="auto"/>
            </w:tcBorders>
            <w:shd w:val="clear" w:color="auto" w:fill="auto"/>
            <w:noWrap/>
            <w:vAlign w:val="center"/>
            <w:hideMark/>
          </w:tcPr>
          <w:p w:rsidR="00375A51" w:rsidRPr="00EB18A6" w:rsidRDefault="00375A51" w:rsidP="00375A51">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1.7%</w:t>
            </w:r>
          </w:p>
        </w:tc>
        <w:tc>
          <w:tcPr>
            <w:tcW w:w="756" w:type="dxa"/>
            <w:tcBorders>
              <w:top w:val="nil"/>
              <w:left w:val="nil"/>
              <w:bottom w:val="single" w:sz="4" w:space="0" w:color="auto"/>
              <w:right w:val="single" w:sz="4" w:space="0" w:color="auto"/>
            </w:tcBorders>
            <w:shd w:val="clear" w:color="auto" w:fill="auto"/>
            <w:noWrap/>
            <w:vAlign w:val="center"/>
            <w:hideMark/>
          </w:tcPr>
          <w:p w:rsidR="00375A51" w:rsidRPr="00EB18A6" w:rsidRDefault="00375A51" w:rsidP="00375A51">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1.5%</w:t>
            </w:r>
          </w:p>
        </w:tc>
        <w:tc>
          <w:tcPr>
            <w:tcW w:w="950" w:type="dxa"/>
            <w:tcBorders>
              <w:top w:val="nil"/>
              <w:left w:val="nil"/>
              <w:bottom w:val="single" w:sz="4" w:space="0" w:color="auto"/>
              <w:right w:val="single" w:sz="4" w:space="0" w:color="auto"/>
            </w:tcBorders>
            <w:shd w:val="clear" w:color="auto" w:fill="auto"/>
            <w:noWrap/>
            <w:vAlign w:val="center"/>
            <w:hideMark/>
          </w:tcPr>
          <w:p w:rsidR="00375A51" w:rsidRPr="00EB18A6" w:rsidRDefault="00375A51" w:rsidP="00375A51">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+0.2%</w:t>
            </w:r>
          </w:p>
        </w:tc>
        <w:tc>
          <w:tcPr>
            <w:tcW w:w="10241" w:type="dxa"/>
            <w:tcBorders>
              <w:top w:val="nil"/>
              <w:left w:val="nil"/>
              <w:bottom w:val="single" w:sz="4" w:space="0" w:color="auto"/>
              <w:right w:val="single" w:sz="8" w:space="0" w:color="auto"/>
            </w:tcBorders>
            <w:shd w:val="clear" w:color="auto" w:fill="auto"/>
            <w:noWrap/>
            <w:vAlign w:val="center"/>
            <w:hideMark/>
          </w:tcPr>
          <w:p w:rsidR="00375A51" w:rsidRPr="00EB18A6" w:rsidRDefault="00C25EA8" w:rsidP="00375A51">
            <w:pPr>
              <w:spacing w:after="0" w:line="240" w:lineRule="auto"/>
              <w:jc w:val="center"/>
              <w:rPr>
                <w:rFonts w:asciiTheme="majorBidi" w:hAnsiTheme="majorBidi" w:cstheme="majorBidi"/>
                <w:sz w:val="24"/>
                <w:szCs w:val="24"/>
              </w:rPr>
            </w:pPr>
            <w:r w:rsidRPr="00ED69B5">
              <w:rPr>
                <w:rFonts w:asciiTheme="majorBidi" w:hAnsiTheme="majorBidi" w:cstheme="majorBidi"/>
                <w:sz w:val="24"/>
                <w:szCs w:val="24"/>
              </w:rPr>
              <w:t>Marked drop in revenue from 2022 to 2023, potentially suggesting lessened engagement or desire. 2. Substantial decline in sales figures between 2022 and 2023, potentially hinting at diminished action or need. 3. Notable reduction in sales numbers from 2022 to 2023, which could be a signal of decreased involvement or desire.</w:t>
            </w:r>
          </w:p>
        </w:tc>
      </w:tr>
      <w:tr w:rsidR="00EB18A6" w:rsidRPr="00EB18A6" w:rsidTr="00EB18A6">
        <w:trPr>
          <w:trHeight w:val="313"/>
        </w:trPr>
        <w:tc>
          <w:tcPr>
            <w:tcW w:w="3757" w:type="dxa"/>
            <w:tcBorders>
              <w:top w:val="nil"/>
              <w:left w:val="single" w:sz="8" w:space="0" w:color="auto"/>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Net Profit (Million KD)</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7.8</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7.7</w:t>
            </w:r>
          </w:p>
        </w:tc>
        <w:tc>
          <w:tcPr>
            <w:tcW w:w="950"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+1.3%</w:t>
            </w:r>
          </w:p>
        </w:tc>
        <w:tc>
          <w:tcPr>
            <w:tcW w:w="10241" w:type="dxa"/>
            <w:tcBorders>
              <w:top w:val="nil"/>
              <w:left w:val="nil"/>
              <w:bottom w:val="single" w:sz="4" w:space="0" w:color="auto"/>
              <w:right w:val="single" w:sz="8" w:space="0" w:color="auto"/>
            </w:tcBorders>
            <w:shd w:val="clear" w:color="auto" w:fill="auto"/>
            <w:noWrap/>
            <w:vAlign w:val="center"/>
            <w:hideMark/>
          </w:tcPr>
          <w:p w:rsidR="00EB18A6" w:rsidRPr="00EB18A6" w:rsidRDefault="00C25EA8" w:rsidP="00EB18A6">
            <w:pPr>
              <w:spacing w:after="0" w:line="240" w:lineRule="auto"/>
              <w:jc w:val="center"/>
              <w:rPr>
                <w:rFonts w:asciiTheme="majorBidi" w:hAnsiTheme="majorBidi" w:cstheme="majorBidi"/>
                <w:sz w:val="24"/>
                <w:szCs w:val="24"/>
              </w:rPr>
            </w:pPr>
            <w:r w:rsidRPr="00ED69B5">
              <w:rPr>
                <w:rFonts w:asciiTheme="majorBidi" w:hAnsiTheme="majorBidi" w:cstheme="majorBidi"/>
                <w:sz w:val="24"/>
                <w:szCs w:val="24"/>
              </w:rPr>
              <w:t>A modest boost in net earnings, indicating sustained profitability despite a decrease in overall revenue. 2. A slight upward trend in net income, demonstrating consistent profitability even with a drop in total income. 3. A modest uptick in net profits, showing that profitability remains steady despite a decline in overall revenue.</w:t>
            </w:r>
          </w:p>
        </w:tc>
      </w:tr>
      <w:tr w:rsidR="00EB18A6" w:rsidRPr="00EB18A6" w:rsidTr="00EB18A6">
        <w:trPr>
          <w:trHeight w:val="313"/>
        </w:trPr>
        <w:tc>
          <w:tcPr>
            <w:tcW w:w="3757" w:type="dxa"/>
            <w:tcBorders>
              <w:top w:val="nil"/>
              <w:left w:val="single" w:sz="8" w:space="0" w:color="auto"/>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Earnings per Share (Fils)</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10.2</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12.04</w:t>
            </w:r>
          </w:p>
        </w:tc>
        <w:tc>
          <w:tcPr>
            <w:tcW w:w="950"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-15.3%</w:t>
            </w:r>
          </w:p>
        </w:tc>
        <w:tc>
          <w:tcPr>
            <w:tcW w:w="10241" w:type="dxa"/>
            <w:tcBorders>
              <w:top w:val="nil"/>
              <w:left w:val="nil"/>
              <w:bottom w:val="single" w:sz="4" w:space="0" w:color="auto"/>
              <w:right w:val="single" w:sz="8" w:space="0" w:color="auto"/>
            </w:tcBorders>
            <w:shd w:val="clear" w:color="auto" w:fill="auto"/>
            <w:noWrap/>
            <w:vAlign w:val="center"/>
            <w:hideMark/>
          </w:tcPr>
          <w:p w:rsidR="00EB18A6" w:rsidRPr="00EB18A6" w:rsidRDefault="00C25EA8" w:rsidP="00EB18A6">
            <w:pPr>
              <w:spacing w:after="0" w:line="240" w:lineRule="auto"/>
              <w:jc w:val="center"/>
              <w:rPr>
                <w:rFonts w:asciiTheme="majorBidi" w:hAnsiTheme="majorBidi" w:cstheme="majorBidi"/>
                <w:sz w:val="24"/>
                <w:szCs w:val="24"/>
              </w:rPr>
            </w:pPr>
            <w:r w:rsidRPr="00ED69B5">
              <w:rPr>
                <w:rFonts w:asciiTheme="majorBidi" w:hAnsiTheme="majorBidi" w:cstheme="majorBidi"/>
                <w:sz w:val="24"/>
                <w:szCs w:val="24"/>
              </w:rPr>
              <w:t>decline in earnings per share, most likely as a result of returns per share being impacted by the decline in sales.</w:t>
            </w:r>
          </w:p>
        </w:tc>
      </w:tr>
      <w:tr w:rsidR="00EB18A6" w:rsidRPr="00EB18A6" w:rsidTr="00EB18A6">
        <w:trPr>
          <w:trHeight w:val="313"/>
        </w:trPr>
        <w:tc>
          <w:tcPr>
            <w:tcW w:w="3757" w:type="dxa"/>
            <w:tcBorders>
              <w:top w:val="nil"/>
              <w:left w:val="single" w:sz="8" w:space="0" w:color="auto"/>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Book Value (Fils)</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579</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553</w:t>
            </w:r>
          </w:p>
        </w:tc>
        <w:tc>
          <w:tcPr>
            <w:tcW w:w="950"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+4.7%</w:t>
            </w:r>
          </w:p>
        </w:tc>
        <w:tc>
          <w:tcPr>
            <w:tcW w:w="10241" w:type="dxa"/>
            <w:tcBorders>
              <w:top w:val="nil"/>
              <w:left w:val="nil"/>
              <w:bottom w:val="single" w:sz="4" w:space="0" w:color="auto"/>
              <w:right w:val="single" w:sz="8" w:space="0" w:color="auto"/>
            </w:tcBorders>
            <w:shd w:val="clear" w:color="auto" w:fill="auto"/>
            <w:noWrap/>
            <w:vAlign w:val="center"/>
            <w:hideMark/>
          </w:tcPr>
          <w:p w:rsidR="00EB18A6" w:rsidRPr="00EB18A6" w:rsidRDefault="00C25EA8" w:rsidP="00EB18A6">
            <w:pPr>
              <w:spacing w:after="0" w:line="240" w:lineRule="auto"/>
              <w:jc w:val="center"/>
              <w:rPr>
                <w:rFonts w:asciiTheme="majorBidi" w:hAnsiTheme="majorBidi" w:cstheme="majorBidi"/>
                <w:sz w:val="24"/>
                <w:szCs w:val="24"/>
              </w:rPr>
            </w:pPr>
            <w:r w:rsidRPr="00ED69B5">
              <w:rPr>
                <w:rFonts w:asciiTheme="majorBidi" w:hAnsiTheme="majorBidi" w:cstheme="majorBidi"/>
                <w:sz w:val="24"/>
                <w:szCs w:val="24"/>
              </w:rPr>
              <w:t>A modest rise in book value signifies an increase in shareholders' equity.</w:t>
            </w:r>
          </w:p>
        </w:tc>
      </w:tr>
      <w:tr w:rsidR="00EB18A6" w:rsidRPr="00EB18A6" w:rsidTr="00EB18A6">
        <w:trPr>
          <w:trHeight w:val="313"/>
        </w:trPr>
        <w:tc>
          <w:tcPr>
            <w:tcW w:w="3757" w:type="dxa"/>
            <w:tcBorders>
              <w:top w:val="nil"/>
              <w:left w:val="single" w:sz="8" w:space="0" w:color="auto"/>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Cash Dividends</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30%</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30%</w:t>
            </w:r>
          </w:p>
        </w:tc>
        <w:tc>
          <w:tcPr>
            <w:tcW w:w="950"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Stable</w:t>
            </w:r>
          </w:p>
        </w:tc>
        <w:tc>
          <w:tcPr>
            <w:tcW w:w="10241" w:type="dxa"/>
            <w:tcBorders>
              <w:top w:val="nil"/>
              <w:left w:val="nil"/>
              <w:bottom w:val="single" w:sz="4" w:space="0" w:color="auto"/>
              <w:right w:val="single" w:sz="8" w:space="0" w:color="auto"/>
            </w:tcBorders>
            <w:shd w:val="clear" w:color="auto" w:fill="auto"/>
            <w:noWrap/>
            <w:vAlign w:val="center"/>
            <w:hideMark/>
          </w:tcPr>
          <w:p w:rsidR="00EB18A6" w:rsidRPr="00EB18A6" w:rsidRDefault="00C25EA8" w:rsidP="00EB18A6">
            <w:pPr>
              <w:spacing w:after="0" w:line="240" w:lineRule="auto"/>
              <w:jc w:val="center"/>
              <w:rPr>
                <w:rFonts w:asciiTheme="majorBidi" w:hAnsiTheme="majorBidi" w:cstheme="majorBidi"/>
                <w:sz w:val="24"/>
                <w:szCs w:val="24"/>
              </w:rPr>
            </w:pPr>
            <w:r w:rsidRPr="00ED69B5">
              <w:rPr>
                <w:rFonts w:asciiTheme="majorBidi" w:hAnsiTheme="majorBidi" w:cstheme="majorBidi"/>
                <w:sz w:val="24"/>
                <w:szCs w:val="24"/>
              </w:rPr>
              <w:t>dividend policy that is consistent, demonstrating the business's dedication to consistent returns for shareholders.</w:t>
            </w:r>
          </w:p>
        </w:tc>
      </w:tr>
      <w:tr w:rsidR="00EB18A6" w:rsidRPr="00EB18A6" w:rsidTr="00EB18A6">
        <w:trPr>
          <w:trHeight w:val="313"/>
        </w:trPr>
        <w:tc>
          <w:tcPr>
            <w:tcW w:w="3757" w:type="dxa"/>
            <w:tcBorders>
              <w:top w:val="nil"/>
              <w:left w:val="single" w:sz="8" w:space="0" w:color="auto"/>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Current Yield</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6.8%</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5.9%</w:t>
            </w:r>
          </w:p>
        </w:tc>
        <w:tc>
          <w:tcPr>
            <w:tcW w:w="950"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+0.9%</w:t>
            </w:r>
          </w:p>
        </w:tc>
        <w:tc>
          <w:tcPr>
            <w:tcW w:w="10241" w:type="dxa"/>
            <w:tcBorders>
              <w:top w:val="nil"/>
              <w:left w:val="nil"/>
              <w:bottom w:val="single" w:sz="4" w:space="0" w:color="auto"/>
              <w:right w:val="single" w:sz="8"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Increase in current yield, providing a higher return for investors compared to the previous year.</w:t>
            </w:r>
          </w:p>
        </w:tc>
      </w:tr>
      <w:tr w:rsidR="00EB18A6" w:rsidRPr="00EB18A6" w:rsidTr="00EB18A6">
        <w:trPr>
          <w:trHeight w:val="313"/>
        </w:trPr>
        <w:tc>
          <w:tcPr>
            <w:tcW w:w="3757" w:type="dxa"/>
            <w:tcBorders>
              <w:top w:val="nil"/>
              <w:left w:val="single" w:sz="8" w:space="0" w:color="auto"/>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Total Assets (Million KD)</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439</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439</w:t>
            </w:r>
          </w:p>
        </w:tc>
        <w:tc>
          <w:tcPr>
            <w:tcW w:w="950"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Stable</w:t>
            </w:r>
          </w:p>
        </w:tc>
        <w:tc>
          <w:tcPr>
            <w:tcW w:w="10241" w:type="dxa"/>
            <w:tcBorders>
              <w:top w:val="nil"/>
              <w:left w:val="nil"/>
              <w:bottom w:val="single" w:sz="4" w:space="0" w:color="auto"/>
              <w:right w:val="single" w:sz="8" w:space="0" w:color="auto"/>
            </w:tcBorders>
            <w:shd w:val="clear" w:color="auto" w:fill="auto"/>
            <w:noWrap/>
            <w:vAlign w:val="center"/>
            <w:hideMark/>
          </w:tcPr>
          <w:p w:rsidR="00EB18A6" w:rsidRPr="00EB18A6" w:rsidRDefault="00C25EA8" w:rsidP="00EB18A6">
            <w:pPr>
              <w:spacing w:after="0" w:line="240" w:lineRule="auto"/>
              <w:jc w:val="center"/>
              <w:rPr>
                <w:rFonts w:asciiTheme="majorBidi" w:hAnsiTheme="majorBidi" w:cstheme="majorBidi"/>
                <w:sz w:val="24"/>
                <w:szCs w:val="24"/>
              </w:rPr>
            </w:pPr>
            <w:r w:rsidRPr="00ED69B5">
              <w:rPr>
                <w:rFonts w:asciiTheme="majorBidi" w:hAnsiTheme="majorBidi" w:cstheme="majorBidi"/>
                <w:sz w:val="24"/>
                <w:szCs w:val="24"/>
              </w:rPr>
              <w:t>The company's asset base is stable, as evidenced by the lack of change in total assets.</w:t>
            </w:r>
          </w:p>
        </w:tc>
      </w:tr>
      <w:tr w:rsidR="00EB18A6" w:rsidRPr="00EB18A6" w:rsidTr="00EB18A6">
        <w:trPr>
          <w:trHeight w:val="313"/>
        </w:trPr>
        <w:tc>
          <w:tcPr>
            <w:tcW w:w="3757" w:type="dxa"/>
            <w:tcBorders>
              <w:top w:val="nil"/>
              <w:left w:val="single" w:sz="8" w:space="0" w:color="auto"/>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Shareholders' Equity (Million KD)</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104.6</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100.1</w:t>
            </w:r>
          </w:p>
        </w:tc>
        <w:tc>
          <w:tcPr>
            <w:tcW w:w="950"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+4.5%</w:t>
            </w:r>
          </w:p>
        </w:tc>
        <w:tc>
          <w:tcPr>
            <w:tcW w:w="10241" w:type="dxa"/>
            <w:tcBorders>
              <w:top w:val="nil"/>
              <w:left w:val="nil"/>
              <w:bottom w:val="single" w:sz="4" w:space="0" w:color="auto"/>
              <w:right w:val="single" w:sz="8" w:space="0" w:color="auto"/>
            </w:tcBorders>
            <w:shd w:val="clear" w:color="auto" w:fill="auto"/>
            <w:noWrap/>
            <w:vAlign w:val="center"/>
            <w:hideMark/>
          </w:tcPr>
          <w:p w:rsidR="00EB18A6" w:rsidRPr="00EB18A6" w:rsidRDefault="00C25EA8" w:rsidP="00EB18A6">
            <w:pPr>
              <w:spacing w:after="0" w:line="240" w:lineRule="auto"/>
              <w:jc w:val="center"/>
              <w:rPr>
                <w:rFonts w:asciiTheme="majorBidi" w:hAnsiTheme="majorBidi" w:cstheme="majorBidi"/>
                <w:sz w:val="24"/>
                <w:szCs w:val="24"/>
              </w:rPr>
            </w:pPr>
            <w:r w:rsidRPr="00ED69B5">
              <w:rPr>
                <w:rFonts w:asciiTheme="majorBidi" w:hAnsiTheme="majorBidi" w:cstheme="majorBidi"/>
                <w:sz w:val="24"/>
                <w:szCs w:val="24"/>
              </w:rPr>
              <w:t>Equity growth indicates an increase in shareholder value.</w:t>
            </w:r>
          </w:p>
        </w:tc>
      </w:tr>
      <w:tr w:rsidR="00EB18A6" w:rsidRPr="00EB18A6" w:rsidTr="00EB18A6">
        <w:trPr>
          <w:trHeight w:val="313"/>
        </w:trPr>
        <w:tc>
          <w:tcPr>
            <w:tcW w:w="3757" w:type="dxa"/>
            <w:tcBorders>
              <w:top w:val="nil"/>
              <w:left w:val="single" w:sz="8" w:space="0" w:color="auto"/>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Return on Equity (ROE)</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7.6%</w:t>
            </w:r>
          </w:p>
        </w:tc>
        <w:tc>
          <w:tcPr>
            <w:tcW w:w="756"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7.6%</w:t>
            </w:r>
          </w:p>
        </w:tc>
        <w:tc>
          <w:tcPr>
            <w:tcW w:w="950" w:type="dxa"/>
            <w:tcBorders>
              <w:top w:val="nil"/>
              <w:left w:val="nil"/>
              <w:bottom w:val="single" w:sz="4"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Stable</w:t>
            </w:r>
          </w:p>
        </w:tc>
        <w:tc>
          <w:tcPr>
            <w:tcW w:w="10241" w:type="dxa"/>
            <w:tcBorders>
              <w:top w:val="nil"/>
              <w:left w:val="nil"/>
              <w:bottom w:val="single" w:sz="4" w:space="0" w:color="auto"/>
              <w:right w:val="single" w:sz="8" w:space="0" w:color="auto"/>
            </w:tcBorders>
            <w:shd w:val="clear" w:color="auto" w:fill="auto"/>
            <w:noWrap/>
            <w:vAlign w:val="center"/>
            <w:hideMark/>
          </w:tcPr>
          <w:p w:rsidR="00EB18A6" w:rsidRPr="00EB18A6" w:rsidRDefault="00C25EA8" w:rsidP="00EB18A6">
            <w:pPr>
              <w:spacing w:after="0" w:line="240" w:lineRule="auto"/>
              <w:jc w:val="center"/>
              <w:rPr>
                <w:rFonts w:asciiTheme="majorBidi" w:hAnsiTheme="majorBidi" w:cstheme="majorBidi"/>
                <w:sz w:val="24"/>
                <w:szCs w:val="24"/>
              </w:rPr>
            </w:pPr>
            <w:r w:rsidRPr="00ED69B5">
              <w:rPr>
                <w:rFonts w:asciiTheme="majorBidi" w:hAnsiTheme="majorBidi" w:cstheme="majorBidi"/>
                <w:sz w:val="24"/>
                <w:szCs w:val="24"/>
              </w:rPr>
              <w:t>steady profitability as evidenced by a consistent return on equity.</w:t>
            </w:r>
          </w:p>
        </w:tc>
      </w:tr>
      <w:tr w:rsidR="00EB18A6" w:rsidRPr="00EB18A6" w:rsidTr="00EB18A6">
        <w:trPr>
          <w:trHeight w:val="313"/>
        </w:trPr>
        <w:tc>
          <w:tcPr>
            <w:tcW w:w="3757" w:type="dxa"/>
            <w:tcBorders>
              <w:top w:val="nil"/>
              <w:left w:val="single" w:sz="8" w:space="0" w:color="auto"/>
              <w:bottom w:val="single" w:sz="8"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Return on Invested Capital (ROIC)</w:t>
            </w:r>
          </w:p>
        </w:tc>
        <w:tc>
          <w:tcPr>
            <w:tcW w:w="756" w:type="dxa"/>
            <w:tcBorders>
              <w:top w:val="nil"/>
              <w:left w:val="nil"/>
              <w:bottom w:val="single" w:sz="8"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5.5%</w:t>
            </w:r>
          </w:p>
        </w:tc>
        <w:tc>
          <w:tcPr>
            <w:tcW w:w="756" w:type="dxa"/>
            <w:tcBorders>
              <w:top w:val="nil"/>
              <w:left w:val="nil"/>
              <w:bottom w:val="single" w:sz="8"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5.1%</w:t>
            </w:r>
          </w:p>
        </w:tc>
        <w:tc>
          <w:tcPr>
            <w:tcW w:w="950" w:type="dxa"/>
            <w:tcBorders>
              <w:top w:val="nil"/>
              <w:left w:val="nil"/>
              <w:bottom w:val="single" w:sz="8" w:space="0" w:color="auto"/>
              <w:right w:val="single" w:sz="4" w:space="0" w:color="auto"/>
            </w:tcBorders>
            <w:shd w:val="clear" w:color="auto" w:fill="auto"/>
            <w:noWrap/>
            <w:vAlign w:val="center"/>
            <w:hideMark/>
          </w:tcPr>
          <w:p w:rsidR="00EB18A6" w:rsidRPr="00EB18A6" w:rsidRDefault="00EB18A6" w:rsidP="00EB18A6">
            <w:pPr>
              <w:spacing w:after="0" w:line="240" w:lineRule="auto"/>
              <w:jc w:val="center"/>
              <w:rPr>
                <w:rFonts w:asciiTheme="majorBidi" w:hAnsiTheme="majorBidi" w:cstheme="majorBidi"/>
                <w:sz w:val="24"/>
                <w:szCs w:val="24"/>
              </w:rPr>
            </w:pPr>
            <w:r w:rsidRPr="00EB18A6">
              <w:rPr>
                <w:rFonts w:asciiTheme="majorBidi" w:hAnsiTheme="majorBidi" w:cstheme="majorBidi"/>
                <w:sz w:val="24"/>
                <w:szCs w:val="24"/>
              </w:rPr>
              <w:t>+0.4%</w:t>
            </w:r>
          </w:p>
        </w:tc>
        <w:tc>
          <w:tcPr>
            <w:tcW w:w="10241" w:type="dxa"/>
            <w:tcBorders>
              <w:top w:val="nil"/>
              <w:left w:val="nil"/>
              <w:bottom w:val="single" w:sz="8" w:space="0" w:color="auto"/>
              <w:right w:val="single" w:sz="8" w:space="0" w:color="auto"/>
            </w:tcBorders>
            <w:shd w:val="clear" w:color="auto" w:fill="auto"/>
            <w:noWrap/>
            <w:vAlign w:val="center"/>
            <w:hideMark/>
          </w:tcPr>
          <w:p w:rsidR="00EB18A6" w:rsidRPr="00EB18A6" w:rsidRDefault="00C25EA8" w:rsidP="00EB18A6">
            <w:pPr>
              <w:spacing w:after="0" w:line="240" w:lineRule="auto"/>
              <w:jc w:val="center"/>
              <w:rPr>
                <w:rFonts w:asciiTheme="majorBidi" w:hAnsiTheme="majorBidi" w:cstheme="majorBidi"/>
                <w:sz w:val="24"/>
                <w:szCs w:val="24"/>
              </w:rPr>
            </w:pPr>
            <w:r w:rsidRPr="00ED69B5">
              <w:rPr>
                <w:rFonts w:asciiTheme="majorBidi" w:hAnsiTheme="majorBidi" w:cstheme="majorBidi"/>
                <w:sz w:val="24"/>
                <w:szCs w:val="24"/>
              </w:rPr>
              <w:t>improved capital utilization as evidenced by a slight increase in return on invested capital.</w:t>
            </w:r>
            <w:r w:rsidRPr="00ED69B5">
              <w:rPr>
                <w:rFonts w:asciiTheme="majorBidi" w:hAnsiTheme="majorBidi" w:cstheme="majorBidi"/>
                <w:sz w:val="24"/>
                <w:szCs w:val="24"/>
              </w:rPr>
              <w:t xml:space="preserve"> </w:t>
            </w:r>
            <w:r w:rsidR="00EB18A6" w:rsidRPr="00EB18A6">
              <w:rPr>
                <w:rFonts w:asciiTheme="majorBidi" w:hAnsiTheme="majorBidi" w:cstheme="majorBidi"/>
                <w:sz w:val="24"/>
                <w:szCs w:val="24"/>
              </w:rPr>
              <w:t>.</w:t>
            </w:r>
          </w:p>
        </w:tc>
      </w:tr>
    </w:tbl>
    <w:p w:rsidR="00E01EE8" w:rsidRPr="00ED69B5" w:rsidRDefault="00E01EE8" w:rsidP="00EB18A6">
      <w:pPr>
        <w:jc w:val="center"/>
        <w:rPr>
          <w:rFonts w:asciiTheme="majorBidi" w:hAnsiTheme="majorBidi" w:cstheme="majorBidi"/>
          <w:sz w:val="24"/>
          <w:szCs w:val="24"/>
        </w:rPr>
      </w:pPr>
    </w:p>
    <w:p w:rsidR="00EB18A6" w:rsidRPr="00ED69B5" w:rsidRDefault="00E01EE8" w:rsidP="00E64336">
      <w:pPr>
        <w:pStyle w:val="ListParagraph"/>
        <w:numPr>
          <w:ilvl w:val="0"/>
          <w:numId w:val="1"/>
        </w:numPr>
        <w:spacing w:line="276" w:lineRule="auto"/>
        <w:rPr>
          <w:rFonts w:asciiTheme="majorBidi" w:hAnsiTheme="majorBidi" w:cstheme="majorBidi"/>
          <w:sz w:val="24"/>
          <w:szCs w:val="24"/>
        </w:rPr>
      </w:pPr>
      <w:r w:rsidRPr="00ED69B5">
        <w:rPr>
          <w:rFonts w:asciiTheme="majorBidi" w:hAnsiTheme="majorBidi" w:cstheme="majorBidi"/>
          <w:sz w:val="24"/>
          <w:szCs w:val="24"/>
        </w:rPr>
        <w:t xml:space="preserve">The table presents Independent Petroleum Group </w:t>
      </w:r>
      <w:proofErr w:type="spellStart"/>
      <w:r w:rsidRPr="00ED69B5">
        <w:rPr>
          <w:rFonts w:asciiTheme="majorBidi" w:hAnsiTheme="majorBidi" w:cstheme="majorBidi"/>
          <w:sz w:val="24"/>
          <w:szCs w:val="24"/>
        </w:rPr>
        <w:t>k.s.</w:t>
      </w:r>
      <w:proofErr w:type="gramStart"/>
      <w:r w:rsidRPr="00ED69B5">
        <w:rPr>
          <w:rFonts w:asciiTheme="majorBidi" w:hAnsiTheme="majorBidi" w:cstheme="majorBidi"/>
          <w:sz w:val="24"/>
          <w:szCs w:val="24"/>
        </w:rPr>
        <w:t>c.p's</w:t>
      </w:r>
      <w:proofErr w:type="spellEnd"/>
      <w:proofErr w:type="gramEnd"/>
      <w:r w:rsidRPr="00ED69B5">
        <w:rPr>
          <w:rFonts w:asciiTheme="majorBidi" w:hAnsiTheme="majorBidi" w:cstheme="majorBidi"/>
          <w:sz w:val="24"/>
          <w:szCs w:val="24"/>
        </w:rPr>
        <w:t xml:space="preserve"> financial performance for 2022 and 2023. The analysis shows a 35% decline in sales, which may indicate reduced activity or demand. Despite this decline in sales, the company maintained stable profitability with a slight improvement in net profit margin and return on invested capital (ROIC). Earnings per share fell significantly, although book value per share rose 4.7%, indicating growth in equity.</w:t>
      </w:r>
    </w:p>
    <w:sectPr w:rsidR="00EB18A6" w:rsidRPr="00ED69B5" w:rsidSect="00D5642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C2F" w:rsidRDefault="00715C2F" w:rsidP="00D56428">
      <w:pPr>
        <w:spacing w:after="0" w:line="240" w:lineRule="auto"/>
      </w:pPr>
      <w:r>
        <w:separator/>
      </w:r>
    </w:p>
  </w:endnote>
  <w:endnote w:type="continuationSeparator" w:id="0">
    <w:p w:rsidR="00715C2F" w:rsidRDefault="00715C2F" w:rsidP="00D5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C2F" w:rsidRDefault="00715C2F" w:rsidP="00D56428">
      <w:pPr>
        <w:spacing w:after="0" w:line="240" w:lineRule="auto"/>
      </w:pPr>
      <w:r>
        <w:separator/>
      </w:r>
    </w:p>
  </w:footnote>
  <w:footnote w:type="continuationSeparator" w:id="0">
    <w:p w:rsidR="00715C2F" w:rsidRDefault="00715C2F" w:rsidP="00D5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241B9"/>
    <w:multiLevelType w:val="hybridMultilevel"/>
    <w:tmpl w:val="F34E9D80"/>
    <w:lvl w:ilvl="0" w:tplc="6A0CF072">
      <w:start w:val="63"/>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0AA1ACD"/>
    <w:multiLevelType w:val="hybridMultilevel"/>
    <w:tmpl w:val="CB4EF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F1"/>
    <w:rsid w:val="00074AF7"/>
    <w:rsid w:val="00375A51"/>
    <w:rsid w:val="004C1CE0"/>
    <w:rsid w:val="00715C2F"/>
    <w:rsid w:val="009249F1"/>
    <w:rsid w:val="00A9705F"/>
    <w:rsid w:val="00C25EA8"/>
    <w:rsid w:val="00D56428"/>
    <w:rsid w:val="00D76C5A"/>
    <w:rsid w:val="00E01EE8"/>
    <w:rsid w:val="00E64336"/>
    <w:rsid w:val="00EB18A6"/>
    <w:rsid w:val="00ED69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56F3"/>
  <w15:chartTrackingRefBased/>
  <w15:docId w15:val="{6CE7DCFD-D1FA-41A8-9773-E709FC4B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6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428"/>
  </w:style>
  <w:style w:type="paragraph" w:styleId="Footer">
    <w:name w:val="footer"/>
    <w:basedOn w:val="Normal"/>
    <w:link w:val="FooterChar"/>
    <w:uiPriority w:val="99"/>
    <w:unhideWhenUsed/>
    <w:rsid w:val="00D56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428"/>
  </w:style>
  <w:style w:type="paragraph" w:styleId="ListParagraph">
    <w:name w:val="List Paragraph"/>
    <w:basedOn w:val="Normal"/>
    <w:uiPriority w:val="34"/>
    <w:qFormat/>
    <w:rsid w:val="00E64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121688">
      <w:bodyDiv w:val="1"/>
      <w:marLeft w:val="0"/>
      <w:marRight w:val="0"/>
      <w:marTop w:val="0"/>
      <w:marBottom w:val="0"/>
      <w:divBdr>
        <w:top w:val="none" w:sz="0" w:space="0" w:color="auto"/>
        <w:left w:val="none" w:sz="0" w:space="0" w:color="auto"/>
        <w:bottom w:val="none" w:sz="0" w:space="0" w:color="auto"/>
        <w:right w:val="none" w:sz="0" w:space="0" w:color="auto"/>
      </w:divBdr>
    </w:div>
    <w:div w:id="1388458828">
      <w:bodyDiv w:val="1"/>
      <w:marLeft w:val="0"/>
      <w:marRight w:val="0"/>
      <w:marTop w:val="0"/>
      <w:marBottom w:val="0"/>
      <w:divBdr>
        <w:top w:val="none" w:sz="0" w:space="0" w:color="auto"/>
        <w:left w:val="none" w:sz="0" w:space="0" w:color="auto"/>
        <w:bottom w:val="none" w:sz="0" w:space="0" w:color="auto"/>
        <w:right w:val="none" w:sz="0" w:space="0" w:color="auto"/>
      </w:divBdr>
    </w:div>
    <w:div w:id="1475292571">
      <w:bodyDiv w:val="1"/>
      <w:marLeft w:val="0"/>
      <w:marRight w:val="0"/>
      <w:marTop w:val="0"/>
      <w:marBottom w:val="0"/>
      <w:divBdr>
        <w:top w:val="none" w:sz="0" w:space="0" w:color="auto"/>
        <w:left w:val="none" w:sz="0" w:space="0" w:color="auto"/>
        <w:bottom w:val="none" w:sz="0" w:space="0" w:color="auto"/>
        <w:right w:val="none" w:sz="0" w:space="0" w:color="auto"/>
      </w:divBdr>
    </w:div>
    <w:div w:id="210845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dc:creator>
  <cp:keywords/>
  <dc:description/>
  <cp:lastModifiedBy>EPA</cp:lastModifiedBy>
  <cp:revision>6</cp:revision>
  <dcterms:created xsi:type="dcterms:W3CDTF">2024-11-08T08:41:00Z</dcterms:created>
  <dcterms:modified xsi:type="dcterms:W3CDTF">2024-11-08T09:46:00Z</dcterms:modified>
</cp:coreProperties>
</file>