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Museo</w:t>
      </w:r>
      <w:r>
        <w:t xml:space="preserve"> </w:t>
      </w:r>
      <w:r>
        <w:t xml:space="preserve">ToolBox</w:t>
      </w:r>
      <w:r>
        <w:t xml:space="preserve"> 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python</w:t>
      </w:r>
      <w:r>
        <w:t xml:space="preserve"> </w:t>
      </w:r>
      <w:r>
        <w:t xml:space="preserve">library</w:t>
      </w:r>
      <w:r>
        <w:t xml:space="preserve"> </w:t>
      </w:r>
      <w:r>
        <w:t xml:space="preserve">for</w:t>
      </w:r>
      <w:r>
        <w:t xml:space="preserve"> </w:t>
      </w:r>
      <w:r>
        <w:t xml:space="preserve">remote</w:t>
      </w:r>
      <w:r>
        <w:t xml:space="preserve"> </w:t>
      </w:r>
      <w:r>
        <w:t xml:space="preserve">sensing</w:t>
      </w:r>
      <w:r>
        <w:t xml:space="preserve"> </w:t>
      </w:r>
      <w:r>
        <w:t xml:space="preserve">including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way</w:t>
      </w:r>
      <w:r>
        <w:t xml:space="preserve"> </w:t>
      </w:r>
      <w:r>
        <w:t xml:space="preserve">to</w:t>
      </w:r>
      <w:r>
        <w:t xml:space="preserve"> </w:t>
      </w:r>
      <w:r>
        <w:t xml:space="preserve">handle</w:t>
      </w:r>
      <w:r>
        <w:t xml:space="preserve"> </w:t>
      </w:r>
      <w:r>
        <w:t xml:space="preserve">rasters.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December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rPr>
          <w:rStyle w:val="VerbatimChar"/>
        </w:rPr>
        <w:t xml:space="preserve">Museo ToolBox</w:t>
      </w:r>
      <w:r>
        <w:t xml:space="preserve"> </w:t>
      </w:r>
      <w:r>
        <w:t xml:space="preserve">is a python library dedicated to the processing of images in remote sensing.</w:t>
      </w:r>
    </w:p>
    <w:p>
      <w:pPr>
        <w:pStyle w:val="BodyText"/>
      </w:pPr>
      <w:r>
        <w:t xml:space="preserve">In this domain, classifying land cover type is a common and sometimes complex task, regardless of your level of expertise. Recurring procedures such as extracting Regions Of Interest (raster values from your polygon), computing spectral indices or validate a model with a cross-validation can be difficult to implement.</w:t>
      </w:r>
    </w:p>
    <w:p>
      <w:pPr>
        <w:pStyle w:val="BodyText"/>
      </w:pPr>
      <w:r>
        <w:rPr>
          <w:rStyle w:val="VerbatimChar"/>
        </w:rPr>
        <w:t xml:space="preserve">Museo ToolBox</w:t>
      </w:r>
      <w:r>
        <w:t xml:space="preserve"> </w:t>
      </w:r>
      <w:r>
        <w:t xml:space="preserve">aims to simplify the whole process by making the main treatments more accessible (extracting of Region Of Interests, fitting a model by using a cross-validation, computing NDVI or various spectral indices, performing any kind of array function to your raster)…</w:t>
      </w:r>
    </w:p>
    <w:p>
      <w:pPr>
        <w:pStyle w:val="BodyText"/>
      </w:pPr>
      <w:r>
        <w:t xml:space="preserve">The main objective of this library is to ease the transposition of array-like functions into to an image and to promote good practices in machine learning.</w:t>
      </w:r>
    </w:p>
    <w:p>
      <w:pPr>
        <w:pStyle w:val="BodyText"/>
      </w:pPr>
      <w:r>
        <w:t xml:space="preserve">To make</w:t>
      </w:r>
      <w:r>
        <w:t xml:space="preserve"> </w:t>
      </w:r>
      <w:r>
        <w:rPr>
          <w:rStyle w:val="VerbatimChar"/>
        </w:rPr>
        <w:t xml:space="preserve">Museo ToolBox</w:t>
      </w:r>
      <w:r>
        <w:t xml:space="preserve"> </w:t>
      </w:r>
      <w:r>
        <w:t xml:space="preserve">easier to get started with, a</w:t>
      </w:r>
      <w:r>
        <w:t xml:space="preserve"> </w:t>
      </w:r>
      <w:hyperlink r:id="rId21">
        <w:r>
          <w:rPr>
            <w:rStyle w:val="Hyperlink"/>
          </w:rPr>
          <w:t xml:space="preserve">full documentation with lot of examples is available online on read the docs</w:t>
        </w:r>
      </w:hyperlink>
      <w:r>
        <w:t xml:space="preserve">.</w:t>
      </w:r>
    </w:p>
    <w:p>
      <w:pPr>
        <w:pStyle w:val="Heading1"/>
      </w:pPr>
      <w:bookmarkStart w:id="22" w:name="museo-toolbox-in-details"/>
      <w:r>
        <w:t xml:space="preserve">Museo ToolBox in details</w:t>
      </w:r>
      <w:bookmarkEnd w:id="22"/>
    </w:p>
    <w:p>
      <w:pPr>
        <w:pStyle w:val="FirstParagraph"/>
      </w:pPr>
      <w:r>
        <w:rPr>
          <w:rStyle w:val="VerbatimChar"/>
        </w:rPr>
        <w:t xml:space="preserve">Museo ToolBox</w:t>
      </w:r>
      <w:r>
        <w:t xml:space="preserve"> </w:t>
      </w:r>
      <w:r>
        <w:t xml:space="preserve">is organized into several modules (Figure 1) :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processing</w:t>
        </w:r>
      </w:hyperlink>
      <w:r>
        <w:t xml:space="preserve"> </w:t>
      </w:r>
      <w:r>
        <w:t xml:space="preserve">: raster and vector processing.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cross-validation</w:t>
        </w:r>
      </w:hyperlink>
      <w:r>
        <w:t xml:space="preserve"> </w:t>
      </w:r>
      <w:r>
        <w:t xml:space="preserve">: stratified cross-validation compatible with scikit-learn.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ai</w:t>
        </w:r>
      </w:hyperlink>
      <w:r>
        <w:t xml:space="preserve"> </w:t>
      </w:r>
      <w:r>
        <w:t xml:space="preserve">: artificial intelligence module built upon scikit-learn.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charts</w:t>
        </w:r>
      </w:hyperlink>
      <w:r>
        <w:t xml:space="preserve"> </w:t>
      </w:r>
      <w:r>
        <w:t xml:space="preserve">: plot confusion matrix with F1 score or producer/user’s accuracy.</w:t>
      </w:r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stats</w:t>
        </w:r>
      </w:hyperlink>
      <w:r>
        <w:t xml:space="preserve"> </w:t>
      </w:r>
      <w:r>
        <w:t xml:space="preserve">: compute stats (like Moran’s Index, confusion matrix, commision/omission) or extract truth and predicted label from a confusion matrix.</w:t>
      </w:r>
    </w:p>
    <w:p>
      <w:pPr>
        <w:pStyle w:val="CaptionedFigure"/>
      </w:pPr>
      <w:r>
        <w:drawing>
          <wp:inline>
            <wp:extent cx="5334000" cy="2618114"/>
            <wp:effectExtent b="0" l="0" r="0" t="0"/>
            <wp:docPr descr="Museo ToolBox schema." title="" id="1" name="Picture"/>
            <a:graphic>
              <a:graphicData uri="http://schemas.openxmlformats.org/drawingml/2006/picture">
                <pic:pic>
                  <pic:nvPicPr>
                    <pic:cNvPr descr="metadata/sche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Museo ToolBox schema.</w:t>
      </w:r>
    </w:p>
    <w:p>
      <w:pPr>
        <w:pStyle w:val="BodyText"/>
      </w:pPr>
      <w:r>
        <w:t xml:space="preserve">Here are some main usages of</w:t>
      </w:r>
      <w:r>
        <w:t xml:space="preserve"> </w:t>
      </w:r>
      <w:r>
        <w:rPr>
          <w:rStyle w:val="VerbatimChar"/>
        </w:rPr>
        <w:t xml:space="preserve">Museo ToolBox</w:t>
      </w:r>
      <w:r>
        <w:t xml:space="preserve"> 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Read and write a raster block per block using your own function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Generate a cross-validation, including spatial cross-validation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Fit models with scikit-learn, extract accuracy from each cross-validation fold, and predict raster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Plot confusion matrix and add f1 score or producer/user accuracy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Get the y_true and and y_predicted labels from a confusion matrix</w:t>
        </w:r>
      </w:hyperlink>
      <w:r>
        <w:t xml:space="preserve">.</w:t>
      </w:r>
    </w:p>
    <w:p>
      <w:pPr>
        <w:pStyle w:val="Heading2"/>
      </w:pPr>
      <w:bookmarkStart w:id="34" w:name="rastermath"/>
      <w:r>
        <w:t xml:space="preserve">RasterMath</w:t>
      </w:r>
      <w:bookmarkEnd w:id="34"/>
    </w:p>
    <w:p>
      <w:pPr>
        <w:pStyle w:val="FirstParagraph"/>
      </w:pPr>
      <w:r>
        <w:t xml:space="preserve">Available in</w:t>
      </w:r>
      <w:r>
        <w:t xml:space="preserve"> </w:t>
      </w:r>
      <w:r>
        <w:rPr>
          <w:rStyle w:val="VerbatimChar"/>
        </w:rPr>
        <w:t xml:space="preserve">museotoolbox.processing</w:t>
      </w:r>
      <w:r>
        <w:t xml:space="preserve">,</w:t>
      </w:r>
      <w:r>
        <w:t xml:space="preserve"> 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class is the keystone of</w:t>
      </w:r>
      <w:r>
        <w:t xml:space="preserve"> </w:t>
      </w:r>
      <w:r>
        <w:rPr>
          <w:rStyle w:val="VerbatimChar"/>
        </w:rPr>
        <w:t xml:space="preserve">Museo ToolBox</w:t>
      </w:r>
      <w:r>
        <w:t xml:space="preserve">.</w:t>
      </w:r>
    </w:p>
    <w:p>
      <w:pPr>
        <w:pStyle w:val="BodyText"/>
      </w:pPr>
      <w:r>
        <w:t xml:space="preserve">The question I asked myself is : How can we make it as easy as possible to implement array-like functions to images ? The idea behind</w:t>
      </w:r>
      <w:r>
        <w:t xml:space="preserve"> 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is, If the function is intended to operate with an array, it should be easy to use it with your raster using as few lines as possible.</w:t>
      </w:r>
    </w:p>
    <w:p>
      <w:pPr>
        <w:pStyle w:val="BodyText"/>
      </w:pPr>
      <w:r>
        <w:t xml:space="preserve">So, what does</w:t>
      </w:r>
      <w:r>
        <w:t xml:space="preserve"> 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really do ? The user only works with an array an confirms with a sample that the process is doing well, and let</w:t>
      </w:r>
      <w:r>
        <w:t xml:space="preserve"> 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generalizing to the whole image. The user doesn’t have to manage the raster reading and writing process, the no-data management, the compression, the number of bands or the projection. Figure 2 explains how</w:t>
      </w:r>
      <w:r>
        <w:t xml:space="preserve"> 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read a raster, performs your function, and write it to a new raster.</w:t>
      </w:r>
    </w:p>
    <w:p>
      <w:pPr>
        <w:pStyle w:val="BodyText"/>
      </w:pPr>
      <w:r>
        <w:t xml:space="preserve">The objective is to</w:t>
      </w:r>
      <w:r>
        <w:t xml:space="preserve"> </w:t>
      </w:r>
      <w:r>
        <w:rPr>
          <w:b/>
        </w:rPr>
        <w:t xml:space="preserve">let the user only focus on his array-compatible function</w:t>
      </w:r>
      <w:r>
        <w:t xml:space="preserve">, and</w:t>
      </w:r>
      <w:r>
        <w:rPr>
          <w:rStyle w:val="VerbatimChar"/>
        </w:rPr>
        <w:t xml:space="preserve">RasterMath</w:t>
      </w:r>
      <w:r>
        <w:t xml:space="preserve"> </w:t>
      </w:r>
      <w:r>
        <w:t xml:space="preserve">manages the raster part.</w:t>
      </w:r>
    </w:p>
    <w:p>
      <w:pPr>
        <w:pStyle w:val="BodyText"/>
      </w:pPr>
      <w:hyperlink r:id="rId29">
        <w:r>
          <w:rPr>
            <w:rStyle w:val="Hyperlink"/>
          </w:rPr>
          <w:t xml:space="preserve">See RasterMath documentation and examples</w:t>
        </w:r>
      </w:hyperlink>
    </w:p>
    <w:p>
      <w:pPr>
        <w:pStyle w:val="CaptionedFigure"/>
      </w:pPr>
      <w:r>
        <w:drawing>
          <wp:inline>
            <wp:extent cx="5334000" cy="3057495"/>
            <wp:effectExtent b="0" l="0" r="0" t="0"/>
            <wp:docPr descr="RasterMath under the hood" title="" id="1" name="Picture"/>
            <a:graphic>
              <a:graphicData uri="http://schemas.openxmlformats.org/drawingml/2006/picture">
                <pic:pic>
                  <pic:nvPicPr>
                    <pic:cNvPr descr="metadata/RasterMath_schem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RasterMath under the hood</w:t>
      </w:r>
    </w:p>
    <w:p>
      <w:pPr>
        <w:pStyle w:val="Heading2"/>
      </w:pPr>
      <w:bookmarkStart w:id="36" w:name="artificial-intelligence"/>
      <w:r>
        <w:t xml:space="preserve">Artificial Intelligence</w:t>
      </w:r>
      <w:bookmarkEnd w:id="36"/>
    </w:p>
    <w:p>
      <w:pPr>
        <w:pStyle w:val="FirstParagraph"/>
      </w:pPr>
      <w:r>
        <w:t xml:space="preserve">The artificial intelligence (</w:t>
      </w:r>
      <w:r>
        <w:rPr>
          <w:rStyle w:val="VerbatimChar"/>
        </w:rPr>
        <w:t xml:space="preserve">ai</w:t>
      </w:r>
      <w:r>
        <w:t xml:space="preserve">) module is natively built to implement</w:t>
      </w:r>
      <w:r>
        <w:t xml:space="preserve"> </w:t>
      </w:r>
      <w:r>
        <w:rPr>
          <w:rStyle w:val="VerbatimChar"/>
        </w:rPr>
        <w:t xml:space="preserve">scikit-learn</w:t>
      </w:r>
      <w:r>
        <w:t xml:space="preserve"> </w:t>
      </w:r>
      <w:r>
        <w:t xml:space="preserve">algorithm and uses state of the art methods (such as standardizing the input data).</w:t>
      </w:r>
      <w:r>
        <w:t xml:space="preserve"> </w:t>
      </w:r>
      <w:r>
        <w:rPr>
          <w:rStyle w:val="VerbatimChar"/>
        </w:rPr>
        <w:t xml:space="preserve">SuperLearner</w:t>
      </w:r>
      <w:r>
        <w:t xml:space="preserve"> </w:t>
      </w:r>
      <w:r>
        <w:t xml:space="preserve">class optimizes the fit process by a grid search to fix parameters of the classifier. There is also a Sequential Feature Selection protocol which supports number of components (e.g. a single-date image is composed of four bands, i.e. 4 features, so you may select 4 features at once).</w:t>
      </w:r>
    </w:p>
    <w:p>
      <w:pPr>
        <w:pStyle w:val="BodyText"/>
      </w:pPr>
      <w:hyperlink r:id="rId31">
        <w:r>
          <w:rPr>
            <w:rStyle w:val="Hyperlink"/>
          </w:rPr>
          <w:t xml:space="preserve">See the SuperLearner documentation and examples</w:t>
        </w:r>
      </w:hyperlink>
    </w:p>
    <w:p>
      <w:pPr>
        <w:pStyle w:val="Heading2"/>
      </w:pPr>
      <w:bookmarkStart w:id="37" w:name="cross-validation"/>
      <w:r>
        <w:t xml:space="preserve">Cross-validation</w:t>
      </w:r>
      <w:bookmarkEnd w:id="37"/>
    </w:p>
    <w:p>
      <w:pPr>
        <w:pStyle w:val="FirstParagraph"/>
      </w:pPr>
      <w:r>
        <w:rPr>
          <w:rStyle w:val="VerbatimChar"/>
        </w:rPr>
        <w:t xml:space="preserve">Museo ToolBox</w:t>
      </w:r>
      <w:r>
        <w:t xml:space="preserve"> </w:t>
      </w:r>
      <w:r>
        <w:t xml:space="preserve">produces only stratified cross-validation, which means the separation between the training and the validation samples is made by respecting the size per class.</w:t>
      </w:r>
      <w:r>
        <w:t xml:space="preserve"> </w:t>
      </w:r>
      <w:r>
        <w:t xml:space="preserve">For example the Leave-One-Out method will keep one sample of validation per class. As stated by</w:t>
      </w:r>
      <w:r>
        <w:t xml:space="preserve"> </w:t>
      </w:r>
      <w:r>
        <w:t xml:space="preserve">[@olofsson_good_2014]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stratified random sampling is a practical design that satisfies the</w:t>
      </w:r>
      <w:r>
        <w:rPr>
          <w:i/>
        </w:rPr>
        <w:t xml:space="preserve"> </w:t>
      </w:r>
      <w:r>
        <w:rPr>
          <w:i/>
        </w:rPr>
        <w:t xml:space="preserve">basic accuracy assessment objectives and most of the desirable design</w:t>
      </w:r>
      <w:r>
        <w:rPr>
          <w:i/>
        </w:rPr>
        <w:t xml:space="preserve"> </w:t>
      </w:r>
      <w:r>
        <w:rPr>
          <w:i/>
        </w:rPr>
        <w:t xml:space="preserve">criteria</w:t>
      </w:r>
      <w:r>
        <w:rPr>
          <w:i/>
        </w:rPr>
        <w:t xml:space="preserve">”</w:t>
      </w:r>
      <w:r>
        <w:t xml:space="preserve">. For spatial cross-validation, see</w:t>
      </w:r>
      <w:r>
        <w:t xml:space="preserve"> </w:t>
      </w:r>
      <w:r>
        <w:t xml:space="preserve">[@karasiak_2019]</w:t>
      </w:r>
      <w:r>
        <w:t xml:space="preserve"> </w:t>
      </w:r>
      <w:r>
        <w:t xml:space="preserve">inspired from</w:t>
      </w:r>
      <w:r>
        <w:t xml:space="preserve"> </w:t>
      </w:r>
      <w:r>
        <w:t xml:space="preserve">[@roberts_2017]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Museo ToolBox</w:t>
      </w:r>
      <w:r>
        <w:t xml:space="preserve"> </w:t>
      </w:r>
      <w:r>
        <w:t xml:space="preserve">offers two different kind of cross-validation :</w:t>
      </w:r>
    </w:p>
    <w:p>
      <w:pPr>
        <w:pStyle w:val="Heading3"/>
      </w:pPr>
      <w:bookmarkStart w:id="38" w:name="non-spatial-cross-validation"/>
      <w:r>
        <w:t xml:space="preserve">Non-spatial cross-validation</w:t>
      </w:r>
      <w:bookmarkEnd w:id="38"/>
    </w:p>
    <w:p>
      <w:pPr>
        <w:pStyle w:val="Compact"/>
        <w:numPr>
          <w:numId w:val="1003"/>
          <w:ilvl w:val="0"/>
        </w:numPr>
      </w:pPr>
      <w:r>
        <w:t xml:space="preserve">Leave-One-Out.</w:t>
      </w:r>
    </w:p>
    <w:p>
      <w:pPr>
        <w:pStyle w:val="Compact"/>
        <w:numPr>
          <w:numId w:val="1003"/>
          <w:ilvl w:val="0"/>
        </w:numPr>
      </w:pPr>
      <w:r>
        <w:t xml:space="preserve">Leave-One-SubGroup-Out.</w:t>
      </w:r>
    </w:p>
    <w:p>
      <w:pPr>
        <w:pStyle w:val="Compact"/>
        <w:numPr>
          <w:numId w:val="1003"/>
          <w:ilvl w:val="0"/>
        </w:numPr>
      </w:pPr>
      <w:r>
        <w:t xml:space="preserve">Leave-P-SubGroup-Out (Percentage of subgroup per class).</w:t>
      </w:r>
    </w:p>
    <w:p>
      <w:pPr>
        <w:pStyle w:val="Compact"/>
        <w:numPr>
          <w:numId w:val="1003"/>
          <w:ilvl w:val="0"/>
        </w:numPr>
      </w:pPr>
      <w:r>
        <w:t xml:space="preserve">Random Stratified K-Fold.</w:t>
      </w:r>
    </w:p>
    <w:p>
      <w:pPr>
        <w:pStyle w:val="Heading3"/>
      </w:pPr>
      <w:bookmarkStart w:id="39" w:name="spatial-cross-validation"/>
      <w:r>
        <w:t xml:space="preserve">Spatial cross-validation</w:t>
      </w:r>
      <w:bookmarkEnd w:id="39"/>
    </w:p>
    <w:p>
      <w:pPr>
        <w:pStyle w:val="Compact"/>
        <w:numPr>
          <w:numId w:val="1004"/>
          <w:ilvl w:val="0"/>
        </w:numPr>
      </w:pPr>
      <w:r>
        <w:t xml:space="preserve">Spatial Leave-One-Out</w:t>
      </w:r>
      <w:r>
        <w:t xml:space="preserve"> </w:t>
      </w:r>
      <w:r>
        <w:t xml:space="preserve">[@karasiak_2019]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Spatial Leave-Aside-Out.</w:t>
      </w:r>
    </w:p>
    <w:p>
      <w:pPr>
        <w:pStyle w:val="Compact"/>
        <w:numPr>
          <w:numId w:val="1004"/>
          <w:ilvl w:val="0"/>
        </w:numPr>
      </w:pPr>
      <w:r>
        <w:t xml:space="preserve">Spatial Leave-One-SubGroup-Out (using centroids to select one subgroup and remove other subgroups for the same class inside a specified distance buffer).</w:t>
      </w:r>
    </w:p>
    <w:p>
      <w:pPr>
        <w:pStyle w:val="FirstParagraph"/>
      </w:pPr>
      <w:hyperlink r:id="rId30">
        <w:r>
          <w:rPr>
            <w:rStyle w:val="Hyperlink"/>
          </w:rPr>
          <w:t xml:space="preserve">See the cross-validation documentation and examples</w:t>
        </w:r>
      </w:hyperlink>
    </w:p>
    <w:p>
      <w:pPr>
        <w:pStyle w:val="Heading1"/>
      </w:pPr>
      <w:bookmarkStart w:id="40" w:name="acknowledgements"/>
      <w:r>
        <w:t xml:space="preserve">Acknowledgements</w:t>
      </w:r>
      <w:bookmarkEnd w:id="40"/>
    </w:p>
    <w:p>
      <w:pPr>
        <w:pStyle w:val="FirstParagraph"/>
      </w:pPr>
      <w:r>
        <w:t xml:space="preserve">I acknowledge contributions from</w:t>
      </w:r>
      <w:r>
        <w:t xml:space="preserve"> </w:t>
      </w:r>
      <w:hyperlink r:id="rId41">
        <w:r>
          <w:rPr>
            <w:rStyle w:val="Hyperlink"/>
          </w:rPr>
          <w:t xml:space="preserve">Mathieu Fauvel</w:t>
        </w:r>
      </w:hyperlink>
      <w:r>
        <w:t xml:space="preserve">, beta-testers (hey Yousra Hamrouni !), my thesis advisors : Jean-François Dejoux, Claude Monteil and</w:t>
      </w:r>
      <w:r>
        <w:t xml:space="preserve"> </w:t>
      </w:r>
      <w:hyperlink r:id="rId42">
        <w:r>
          <w:rPr>
            <w:rStyle w:val="Hyperlink"/>
          </w:rPr>
          <w:t xml:space="preserve">David Sheeren</w:t>
        </w:r>
      </w:hyperlink>
      <w:r>
        <w:t xml:space="preserve">. Many thanks to Marie for proofreading.</w:t>
      </w:r>
    </w:p>
    <w:p>
      <w:pPr>
        <w:pStyle w:val="Heading1"/>
      </w:pPr>
      <w:bookmarkStart w:id="43" w:name="references"/>
      <w:r>
        <w:t xml:space="preserve">References</w:t>
      </w:r>
      <w:bookmarkEnd w:id="4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hyperlink" Id="rId41" Target="http://fauvel.mathieu.free.fr/" TargetMode="External" /><Relationship Type="http://schemas.openxmlformats.org/officeDocument/2006/relationships/hyperlink" Id="rId21" Target="http://museotoolbox.readthedocs.io/" TargetMode="External" /><Relationship Type="http://schemas.openxmlformats.org/officeDocument/2006/relationships/hyperlink" Id="rId42" Target="https://dsheeren.github.io/" TargetMode="External" /><Relationship Type="http://schemas.openxmlformats.org/officeDocument/2006/relationships/hyperlink" Id="rId30" Target="https://museotoolbox.readthedocs.io/en/latest/auto_examples/index.html#cross-validation" TargetMode="External" /><Relationship Type="http://schemas.openxmlformats.org/officeDocument/2006/relationships/hyperlink" Id="rId31" Target="https://museotoolbox.readthedocs.io/en/latest/modules/ai/museotoolbox.ai.SuperLearner.html" TargetMode="External" /><Relationship Type="http://schemas.openxmlformats.org/officeDocument/2006/relationships/hyperlink" Id="rId32" Target="https://museotoolbox.readthedocs.io/en/latest/modules/charts/museotoolbox.charts.PlotConfusionMatrix.html#museotoolbox.charts.PlotConfusionMatrix" TargetMode="External" /><Relationship Type="http://schemas.openxmlformats.org/officeDocument/2006/relationships/hyperlink" Id="rId25" Target="https://museotoolbox.readthedocs.io/en/latest/modules/museotoolbox.ai.html" TargetMode="External" /><Relationship Type="http://schemas.openxmlformats.org/officeDocument/2006/relationships/hyperlink" Id="rId26" Target="https://museotoolbox.readthedocs.io/en/latest/modules/museotoolbox.charts.html" TargetMode="External" /><Relationship Type="http://schemas.openxmlformats.org/officeDocument/2006/relationships/hyperlink" Id="rId24" Target="https://museotoolbox.readthedocs.io/en/latest/modules/museotoolbox.cross_validation.html" TargetMode="External" /><Relationship Type="http://schemas.openxmlformats.org/officeDocument/2006/relationships/hyperlink" Id="rId23" Target="https://museotoolbox.readthedocs.io/en/latest/modules/museotoolbox.processing.html" TargetMode="External" /><Relationship Type="http://schemas.openxmlformats.org/officeDocument/2006/relationships/hyperlink" Id="rId27" Target="https://museotoolbox.readthedocs.io/en/latest/modules/museotoolbox.stats.html" TargetMode="External" /><Relationship Type="http://schemas.openxmlformats.org/officeDocument/2006/relationships/hyperlink" Id="rId29" Target="https://museotoolbox.readthedocs.io/en/latest/modules/processing/museotoolbox.processing.RasterMath.html" TargetMode="External" /><Relationship Type="http://schemas.openxmlformats.org/officeDocument/2006/relationships/hyperlink" Id="rId33" Target="https://museotoolbox.readthedocs.io/en/latest/modules/stats/museotoolbox.stats.retrieve_y_from_confusion_matri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fauvel.mathieu.free.fr/" TargetMode="External" /><Relationship Type="http://schemas.openxmlformats.org/officeDocument/2006/relationships/hyperlink" Id="rId21" Target="http://museotoolbox.readthedocs.io/" TargetMode="External" /><Relationship Type="http://schemas.openxmlformats.org/officeDocument/2006/relationships/hyperlink" Id="rId42" Target="https://dsheeren.github.io/" TargetMode="External" /><Relationship Type="http://schemas.openxmlformats.org/officeDocument/2006/relationships/hyperlink" Id="rId30" Target="https://museotoolbox.readthedocs.io/en/latest/auto_examples/index.html#cross-validation" TargetMode="External" /><Relationship Type="http://schemas.openxmlformats.org/officeDocument/2006/relationships/hyperlink" Id="rId31" Target="https://museotoolbox.readthedocs.io/en/latest/modules/ai/museotoolbox.ai.SuperLearner.html" TargetMode="External" /><Relationship Type="http://schemas.openxmlformats.org/officeDocument/2006/relationships/hyperlink" Id="rId32" Target="https://museotoolbox.readthedocs.io/en/latest/modules/charts/museotoolbox.charts.PlotConfusionMatrix.html#museotoolbox.charts.PlotConfusionMatrix" TargetMode="External" /><Relationship Type="http://schemas.openxmlformats.org/officeDocument/2006/relationships/hyperlink" Id="rId25" Target="https://museotoolbox.readthedocs.io/en/latest/modules/museotoolbox.ai.html" TargetMode="External" /><Relationship Type="http://schemas.openxmlformats.org/officeDocument/2006/relationships/hyperlink" Id="rId26" Target="https://museotoolbox.readthedocs.io/en/latest/modules/museotoolbox.charts.html" TargetMode="External" /><Relationship Type="http://schemas.openxmlformats.org/officeDocument/2006/relationships/hyperlink" Id="rId24" Target="https://museotoolbox.readthedocs.io/en/latest/modules/museotoolbox.cross_validation.html" TargetMode="External" /><Relationship Type="http://schemas.openxmlformats.org/officeDocument/2006/relationships/hyperlink" Id="rId23" Target="https://museotoolbox.readthedocs.io/en/latest/modules/museotoolbox.processing.html" TargetMode="External" /><Relationship Type="http://schemas.openxmlformats.org/officeDocument/2006/relationships/hyperlink" Id="rId27" Target="https://museotoolbox.readthedocs.io/en/latest/modules/museotoolbox.stats.html" TargetMode="External" /><Relationship Type="http://schemas.openxmlformats.org/officeDocument/2006/relationships/hyperlink" Id="rId29" Target="https://museotoolbox.readthedocs.io/en/latest/modules/processing/museotoolbox.processing.RasterMath.html" TargetMode="External" /><Relationship Type="http://schemas.openxmlformats.org/officeDocument/2006/relationships/hyperlink" Id="rId33" Target="https://museotoolbox.readthedocs.io/en/latest/modules/stats/museotoolbox.stats.retrieve_y_from_confusion_matri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Museo ToolBox : a python library for remote sensing including a new way to handle rasters.</dc:title>
  <dc:creator/>
  <cp:keywords/>
  <dcterms:created xsi:type="dcterms:W3CDTF">2020-02-22T09:47:23Z</dcterms:created>
  <dcterms:modified xsi:type="dcterms:W3CDTF">2020-02-22T09:47:23Z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graphy">
    <vt:lpwstr>paper.bib</vt:lpwstr>
  </property>
  <property fmtid="{D5CDD505-2E9C-101B-9397-08002B2CF9AE}" pid="5" name="date">
    <vt:lpwstr>13 December 2019</vt:lpwstr>
  </property>
  <property fmtid="{D5CDD505-2E9C-101B-9397-08002B2CF9AE}" pid="6" name="tags">
    <vt:lpwstr/>
  </property>
</Properties>
</file>