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 w14:paraId="60DC178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>
          <w:rFonts w:ascii="Arial" w:hAnsi="Arial" w:eastAsia="Arial" w:cs="Arial"/>
          <w:sz w:val="48"/>
          <w:szCs w:val="48"/>
        </w:rPr>
      </w:pPr>
      <w:r>
        <w:rPr>
          <w:rFonts w:ascii="Arial" w:hAnsi="Arial" w:eastAsia="Arial" w:cs="Arial"/>
          <w:b/>
          <w:color w:val="1f1f1f"/>
          <w:sz w:val="48"/>
          <w:highlight w:val="none"/>
        </w:rPr>
      </w:r>
      <w:r>
        <w:rPr>
          <w:rFonts w:ascii="Arial" w:hAnsi="Arial" w:eastAsia="Arial" w:cs="Arial"/>
          <w:b/>
          <w:color w:val="1f1f1f"/>
          <w:sz w:val="48"/>
          <w:highlight w:val="none"/>
        </w:rPr>
      </w:r>
      <w:r>
        <w:rPr>
          <w:rFonts w:ascii="Arial" w:hAnsi="Arial" w:eastAsia="Arial" w:cs="Arial"/>
          <w:b/>
          <w:color w:val="1f1f1f"/>
          <w:sz w:val="48"/>
          <w:highlight w:val="none"/>
        </w:rPr>
      </w:r>
    </w:p>
    <w:p w14:paraId="0A02E6B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>
          <w:rFonts w:ascii="Arial" w:hAnsi="Arial" w:eastAsia="Arial" w:cs="Arial"/>
          <w:b/>
          <w:bCs/>
          <w:color w:val="1f1f1f"/>
          <w:sz w:val="48"/>
          <w:szCs w:val="48"/>
          <w:highlight w:val="none"/>
        </w:rPr>
      </w:pPr>
      <w:r>
        <w:rPr>
          <w:rFonts w:ascii="Arial" w:hAnsi="Arial" w:eastAsia="Arial" w:cs="Arial"/>
          <w:b/>
          <w:color w:val="1f1f1f"/>
          <w:sz w:val="48"/>
          <w:highlight w:val="none"/>
        </w:rPr>
      </w:r>
      <w:r>
        <w:rPr>
          <w:rFonts w:ascii="Arial" w:hAnsi="Arial" w:eastAsia="Arial" w:cs="Arial"/>
          <w:b/>
          <w:color w:val="1f1f1f"/>
          <w:sz w:val="48"/>
          <w:highlight w:val="none"/>
        </w:rPr>
      </w:r>
      <w:r>
        <w:rPr>
          <w:rFonts w:ascii="Arial" w:hAnsi="Arial" w:eastAsia="Arial" w:cs="Arial"/>
          <w:b/>
          <w:color w:val="1f1f1f"/>
          <w:sz w:val="48"/>
          <w:highlight w:val="none"/>
        </w:rPr>
      </w:r>
    </w:p>
    <w:p w14:paraId="6897E93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>
          <w:rFonts w:ascii="Arial" w:hAnsi="Arial" w:eastAsia="Arial" w:cs="Arial"/>
          <w:b/>
          <w:bCs/>
          <w:color w:val="1f1f1f"/>
          <w:sz w:val="48"/>
          <w:szCs w:val="48"/>
          <w:highlight w:val="none"/>
        </w:rPr>
      </w:pPr>
      <w:r>
        <w:rPr>
          <w:rFonts w:ascii="Arial" w:hAnsi="Arial" w:eastAsia="Arial" w:cs="Arial"/>
          <w:b/>
          <w:color w:val="1f1f1f"/>
          <w:sz w:val="48"/>
          <w:highlight w:val="none"/>
        </w:rPr>
      </w:r>
      <w:r>
        <w:rPr>
          <w:rFonts w:ascii="Arial" w:hAnsi="Arial" w:eastAsia="Arial" w:cs="Arial"/>
          <w:b/>
          <w:color w:val="1f1f1f"/>
          <w:sz w:val="48"/>
          <w:highlight w:val="none"/>
        </w:rPr>
      </w:r>
      <w:r>
        <w:rPr>
          <w:rFonts w:ascii="Arial" w:hAnsi="Arial" w:eastAsia="Arial" w:cs="Arial"/>
          <w:b/>
          <w:color w:val="1f1f1f"/>
          <w:sz w:val="48"/>
          <w:highlight w:val="none"/>
        </w:rPr>
      </w:r>
    </w:p>
    <w:p w14:paraId="087BB8C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>
          <w:rFonts w:ascii="Arial" w:hAnsi="Arial" w:eastAsia="Arial" w:cs="Arial"/>
          <w:b/>
          <w:bCs/>
          <w:color w:val="1f1f1f"/>
          <w:sz w:val="48"/>
          <w:szCs w:val="48"/>
          <w:highlight w:val="none"/>
        </w:rPr>
      </w:pPr>
      <w:r>
        <w:rPr>
          <w:rFonts w:ascii="Arial" w:hAnsi="Arial" w:eastAsia="Arial" w:cs="Arial"/>
          <w:b/>
          <w:color w:val="1f1f1f"/>
          <w:sz w:val="48"/>
          <w:highlight w:val="none"/>
        </w:rPr>
      </w:r>
      <w:r>
        <w:rPr>
          <w:rFonts w:ascii="Arial" w:hAnsi="Arial" w:eastAsia="Arial" w:cs="Arial"/>
          <w:b/>
          <w:color w:val="1f1f1f"/>
          <w:sz w:val="48"/>
          <w:highlight w:val="none"/>
        </w:rPr>
      </w:r>
      <w:r>
        <w:rPr>
          <w:rFonts w:ascii="Arial" w:hAnsi="Arial" w:eastAsia="Arial" w:cs="Arial"/>
          <w:b/>
          <w:color w:val="1f1f1f"/>
          <w:sz w:val="48"/>
          <w:highlight w:val="none"/>
        </w:rPr>
      </w:r>
    </w:p>
    <w:p w14:paraId="5C1E9A26">
      <w:pPr>
        <w:pStyle w:val="159"/>
        <w:pBdr/>
        <w:spacing/>
        <w:ind/>
        <w:rPr>
          <w:rFonts w:ascii="Arial" w:hAnsi="Arial" w:eastAsia="Arial" w:cs="Arial"/>
          <w:b/>
          <w:bCs/>
          <w:color w:val="1f1f1f"/>
          <w:sz w:val="48"/>
          <w:szCs w:val="48"/>
          <w:highlight w:val="none"/>
        </w:rPr>
      </w:pPr>
      <w:r>
        <w:rPr>
          <w:rFonts w:ascii="Arial" w:hAnsi="Arial" w:eastAsia="Arial" w:cs="Arial"/>
          <w:b/>
          <w:color w:val="1f1f1f"/>
          <w:sz w:val="48"/>
        </w:rPr>
        <w:t xml:space="preserve">TD : MIGRATION DE DONNÉES</w:t>
      </w:r>
      <w:r>
        <w:rPr>
          <w:rFonts w:ascii="Arial" w:hAnsi="Arial" w:eastAsia="Arial" w:cs="Arial"/>
          <w:sz w:val="48"/>
        </w:rPr>
      </w:r>
    </w:p>
    <w:p w14:paraId="7B566B55">
      <w:pPr>
        <w:pBdr/>
        <w:spacing/>
        <w:ind/>
        <w:rPr/>
      </w:pPr>
      <w:r/>
      <w:r/>
      <w:r/>
    </w:p>
    <w:p w14:paraId="1242D52B">
      <w:pPr>
        <w:pBdr/>
        <w:spacing/>
        <w:ind/>
        <w:rPr/>
      </w:pPr>
      <w:r/>
      <w:r/>
      <w:r/>
    </w:p>
    <w:p w14:paraId="77B8363D">
      <w:pPr>
        <w:pBdr/>
        <w:spacing/>
        <w:ind/>
        <w:rPr/>
      </w:pPr>
      <w:r/>
      <w:r/>
      <w:r/>
    </w:p>
    <w:p w14:paraId="7A14913F">
      <w:pPr>
        <w:pBdr/>
        <w:spacing/>
        <w:ind/>
        <w:rPr/>
      </w:pPr>
      <w:r/>
      <w:r/>
      <w:r/>
    </w:p>
    <w:p w14:paraId="1A6FF101">
      <w:pPr>
        <w:pBdr/>
        <w:spacing/>
        <w:ind/>
        <w:rPr/>
      </w:pPr>
      <w:r/>
      <w:r/>
    </w:p>
    <w:p w14:paraId="78D4E0F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36"/>
        </w:rPr>
        <w:t xml:space="preserve">Projet TechCorp Formation – Relocalisation </w:t>
      </w:r>
      <w:r/>
    </w:p>
    <w:p w14:paraId="5A1EB9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Date de réalisation :</w:t>
      </w:r>
      <w:r>
        <w:rPr>
          <w:rFonts w:ascii="Arial" w:hAnsi="Arial" w:eastAsia="Arial" w:cs="Arial"/>
          <w:color w:val="1f1f1f"/>
          <w:sz w:val="24"/>
        </w:rPr>
        <w:t xml:space="preserve"> 19 mai 2026</w:t>
      </w:r>
      <w:r/>
    </w:p>
    <w:p w14:paraId="5C6661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 w:firstLine="0" w:left="0"/>
        <w:rPr>
          <w:rFonts w:ascii="Arial" w:hAnsi="Arial" w:eastAsia="Arial" w:cs="Arial"/>
          <w:color w:val="1f1f1f"/>
          <w:sz w:val="24"/>
          <w:szCs w:val="24"/>
          <w:highlight w:val="none"/>
        </w:rPr>
      </w:pPr>
      <w:r>
        <w:rPr>
          <w:rFonts w:ascii="Arial" w:hAnsi="Arial" w:eastAsia="Arial" w:cs="Arial"/>
          <w:b/>
          <w:color w:val="1f1f1f"/>
          <w:sz w:val="24"/>
        </w:rPr>
        <w:t xml:space="preserve">Auteurs :</w:t>
      </w:r>
      <w:r>
        <w:rPr>
          <w:rFonts w:ascii="Arial" w:hAnsi="Arial" w:eastAsia="Arial" w:cs="Arial"/>
          <w:color w:val="1f1f1f"/>
          <w:sz w:val="24"/>
        </w:rPr>
        <w:t xml:space="preserve"> Baduel Lucas – Gorrin Valentin – Grenier Quentin</w:t>
      </w:r>
      <w:r>
        <w:rPr>
          <w:rFonts w:ascii="Arial" w:hAnsi="Arial" w:eastAsia="Arial" w:cs="Arial"/>
          <w:sz w:val="24"/>
        </w:rPr>
      </w:r>
    </w:p>
    <w:p w14:paraId="78981F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6AA336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17BB30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38789D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1B8E65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41C47D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4F6571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061F5B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435168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35D424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758AAA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 w:firstLine="0" w:lef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 w14:paraId="7EBF3C4F">
      <w:pPr>
        <w:pStyle w:val="139"/>
        <w:pBdr/>
        <w:spacing/>
        <w:ind/>
        <w:rPr/>
      </w:pPr>
      <w:r>
        <w:rPr>
          <w:rFonts w:ascii="Arial" w:hAnsi="Arial" w:eastAsia="Arial" w:cs="Arial"/>
          <w:b/>
          <w:color w:val="1f1f1f"/>
          <w:sz w:val="36"/>
        </w:rPr>
        <w:t xml:space="preserve">1. Phase d'analyse préliminaire</w:t>
      </w:r>
      <w:r/>
    </w:p>
    <w:p w14:paraId="693C4725">
      <w:pPr>
        <w:pStyle w:val="140"/>
        <w:pBdr/>
        <w:spacing/>
        <w:ind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1.1 Inventaire de la base de données source (Montpellier)</w:t>
      </w:r>
      <w:r/>
    </w:p>
    <w:p w14:paraId="503F23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La base de données source </w:t>
      </w:r>
      <w:r>
        <w:rPr>
          <w:rFonts w:ascii="Arial" w:hAnsi="Arial" w:eastAsia="Arial" w:cs="Arial"/>
          <w:color w:val="444746"/>
          <w:sz w:val="24"/>
          <w:highlight w:val="none"/>
        </w:rPr>
        <w:t xml:space="preserve">pg_montpellier</w:t>
      </w:r>
      <w:r>
        <w:rPr>
          <w:rFonts w:ascii="Arial" w:hAnsi="Arial" w:eastAsia="Arial" w:cs="Arial"/>
          <w:color w:val="1f1f1f"/>
          <w:sz w:val="24"/>
        </w:rPr>
        <w:t xml:space="preserve"> présente un volume global de 7 719 kB (environ 7,5 Mo). L'analyse des dépendances et de la criticité des tables a permis de dresser le tableau suivante 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161"/>
        <w:gridCol w:w="2014"/>
        <w:gridCol w:w="3615"/>
        <w:gridCol w:w="894"/>
      </w:tblGrid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161" w:type="dxa"/>
            <w:vAlign w:val="center"/>
          </w:tcPr>
          <w:p w14:paraId="7916ED2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Table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014" w:type="dxa"/>
            <w:vAlign w:val="center"/>
          </w:tcPr>
          <w:p w14:paraId="0D9DAF6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Nombre de lignes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3615" w:type="dxa"/>
            <w:vAlign w:val="center"/>
          </w:tcPr>
          <w:p w14:paraId="5CC5817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Dépend de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894" w:type="dxa"/>
            <w:vAlign w:val="center"/>
          </w:tcPr>
          <w:p w14:paraId="317616E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Criticité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161" w:type="dxa"/>
            <w:vAlign w:val="center"/>
          </w:tcPr>
          <w:p w14:paraId="7365FB5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utilisateurs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014" w:type="dxa"/>
            <w:vAlign w:val="center"/>
          </w:tcPr>
          <w:p w14:paraId="7419E20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3615" w:type="dxa"/>
            <w:vAlign w:val="center"/>
          </w:tcPr>
          <w:p w14:paraId="00AADCA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Aucune (Table parent)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894" w:type="dxa"/>
            <w:vAlign w:val="center"/>
          </w:tcPr>
          <w:p w14:paraId="2F23A75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Oui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161" w:type="dxa"/>
            <w:vAlign w:val="center"/>
          </w:tcPr>
          <w:p w14:paraId="1462CD7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formations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014" w:type="dxa"/>
            <w:vAlign w:val="center"/>
          </w:tcPr>
          <w:p w14:paraId="7EB2E9E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3615" w:type="dxa"/>
            <w:vAlign w:val="center"/>
          </w:tcPr>
          <w:p w14:paraId="3C0AD82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Aucune (Table parent)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894" w:type="dxa"/>
            <w:vAlign w:val="center"/>
          </w:tcPr>
          <w:p w14:paraId="6F4A4FF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Oui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161" w:type="dxa"/>
            <w:vAlign w:val="center"/>
          </w:tcPr>
          <w:p w14:paraId="3305AAB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progressions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014" w:type="dxa"/>
            <w:vAlign w:val="center"/>
          </w:tcPr>
          <w:p w14:paraId="4A2CE06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6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3615" w:type="dxa"/>
            <w:vAlign w:val="center"/>
          </w:tcPr>
          <w:p w14:paraId="3317120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444746"/>
                <w:sz w:val="24"/>
                <w:highlight w:val="none"/>
              </w:rPr>
              <w:t xml:space="preserve">utilisateurs</w:t>
            </w:r>
            <w:r>
              <w:rPr>
                <w:rFonts w:ascii="Arial" w:hAnsi="Arial" w:eastAsia="Arial" w:cs="Arial"/>
                <w:color w:val="1f1f1f"/>
                <w:sz w:val="24"/>
              </w:rPr>
              <w:t xml:space="preserve">, </w:t>
            </w:r>
            <w:r>
              <w:rPr>
                <w:rFonts w:ascii="Arial" w:hAnsi="Arial" w:eastAsia="Arial" w:cs="Arial"/>
                <w:color w:val="444746"/>
                <w:sz w:val="24"/>
                <w:highlight w:val="none"/>
              </w:rPr>
              <w:t xml:space="preserve">formations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894" w:type="dxa"/>
            <w:vAlign w:val="center"/>
          </w:tcPr>
          <w:p w14:paraId="6F8037B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Oui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161" w:type="dxa"/>
            <w:vAlign w:val="center"/>
          </w:tcPr>
          <w:p w14:paraId="155704B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resultats_examens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014" w:type="dxa"/>
            <w:vAlign w:val="center"/>
          </w:tcPr>
          <w:p w14:paraId="1DF7E18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3615" w:type="dxa"/>
            <w:vAlign w:val="center"/>
          </w:tcPr>
          <w:p w14:paraId="6DB1656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444746"/>
                <w:sz w:val="24"/>
                <w:highlight w:val="none"/>
              </w:rPr>
              <w:t xml:space="preserve">utilisateurs</w:t>
            </w:r>
            <w:r>
              <w:rPr>
                <w:rFonts w:ascii="Arial" w:hAnsi="Arial" w:eastAsia="Arial" w:cs="Arial"/>
                <w:color w:val="1f1f1f"/>
                <w:sz w:val="24"/>
              </w:rPr>
              <w:t xml:space="preserve">, </w:t>
            </w:r>
            <w:r>
              <w:rPr>
                <w:rFonts w:ascii="Arial" w:hAnsi="Arial" w:eastAsia="Arial" w:cs="Arial"/>
                <w:color w:val="444746"/>
                <w:sz w:val="24"/>
                <w:highlight w:val="none"/>
              </w:rPr>
              <w:t xml:space="preserve">formations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894" w:type="dxa"/>
            <w:vAlign w:val="center"/>
          </w:tcPr>
          <w:p w14:paraId="2B02A7D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Oui</w:t>
            </w:r>
            <w:r/>
          </w:p>
        </w:tc>
      </w:tr>
    </w:tbl>
    <w:p w14:paraId="7639F99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color w:val="1f1f1f"/>
          <w:sz w:val="28"/>
          <w:highlight w:val="none"/>
        </w:rPr>
      </w:r>
      <w:r>
        <w:rPr>
          <w:rFonts w:ascii="Arial" w:hAnsi="Arial" w:eastAsia="Arial" w:cs="Arial"/>
          <w:b/>
          <w:color w:val="1f1f1f"/>
          <w:sz w:val="28"/>
          <w:highlight w:val="none"/>
        </w:rPr>
      </w:r>
      <w:r>
        <w:rPr>
          <w:rFonts w:ascii="Arial" w:hAnsi="Arial" w:eastAsia="Arial" w:cs="Arial"/>
          <w:b/>
          <w:color w:val="1f1f1f"/>
          <w:sz w:val="28"/>
          <w:highlight w:val="none"/>
        </w:rPr>
      </w:r>
    </w:p>
    <w:p w14:paraId="56317DA5">
      <w:pPr>
        <w:pStyle w:val="140"/>
        <w:pBdr/>
        <w:spacing/>
        <w:ind/>
        <w:rPr>
          <w:rFonts w:ascii="Arial" w:hAnsi="Arial" w:eastAsia="Arial" w:cs="Arial"/>
          <w:b/>
          <w:bCs/>
          <w:color w:val="1f1f1f"/>
          <w:sz w:val="28"/>
          <w:szCs w:val="28"/>
          <w:highlight w:val="none"/>
        </w:rPr>
      </w:pPr>
      <w:r>
        <w:rPr>
          <w:rFonts w:ascii="Arial" w:hAnsi="Arial" w:eastAsia="Arial" w:cs="Arial"/>
          <w:b/>
          <w:color w:val="1f1f1f"/>
          <w:sz w:val="28"/>
        </w:rPr>
        <w:t xml:space="preserve">1.2 Inventaire des fichiers stockés</w:t>
      </w:r>
      <w:r/>
    </w:p>
    <w:p w14:paraId="6F0746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Le serveur de Montpellier héberge également des supports pédagogiques dans le répertoire </w:t>
      </w:r>
      <w:r>
        <w:rPr>
          <w:rFonts w:ascii="Arial" w:hAnsi="Arial" w:eastAsia="Arial" w:cs="Arial"/>
          <w:color w:val="444746"/>
          <w:sz w:val="24"/>
          <w:highlight w:val="none"/>
        </w:rPr>
        <w:t xml:space="preserve">data_</w:t>
      </w:r>
      <w:r>
        <w:rPr>
          <w:rFonts w:ascii="Arial" w:hAnsi="Arial" w:eastAsia="Arial" w:cs="Arial"/>
          <w:i/>
          <w:iCs/>
          <w:color w:val="444746"/>
          <w:sz w:val="24"/>
          <w:highlight w:val="none"/>
        </w:rPr>
        <w:t xml:space="preserve">montpellier/supports/</w:t>
      </w:r>
      <w:r>
        <w:rPr>
          <w:rFonts w:ascii="Arial" w:hAnsi="Arial" w:eastAsia="Arial" w:cs="Arial"/>
          <w:color w:val="1f1f1f"/>
          <w:sz w:val="24"/>
          <w:highlight w:val="none"/>
        </w:rPr>
        <w:t xml:space="preserve">.</w:t>
      </w:r>
      <w:r>
        <w:rPr>
          <w:rFonts w:ascii="Arial" w:hAnsi="Arial" w:eastAsia="Arial" w:cs="Arial"/>
          <w:color w:val="1f1f1f"/>
          <w:sz w:val="24"/>
        </w:rPr>
        <w:t xml:space="preserve"> Pour la phase de test, 5 fichiers simulés ont été recensés :</w:t>
      </w:r>
      <w:r/>
    </w:p>
    <w:p w14:paraId="1326C7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/>
        <w:rPr>
          <w:highlight w:val="none"/>
        </w:rPr>
      </w:pPr>
      <w:r>
        <w:rPr>
          <w:rFonts w:ascii="Arial" w:hAnsi="Arial" w:eastAsia="Arial" w:cs="Arial"/>
          <w:i/>
          <w:iCs/>
          <w:color w:val="444746"/>
          <w:sz w:val="24"/>
          <w:highlight w:val="none"/>
        </w:rPr>
        <w:t xml:space="preserve">excel_module1.pdf</w:t>
      </w:r>
      <w:r>
        <w:rPr>
          <w:rFonts w:ascii="Arial" w:hAnsi="Arial" w:eastAsia="Arial" w:cs="Arial"/>
          <w:color w:val="1f1f1f"/>
          <w:sz w:val="24"/>
          <w:highlight w:val="none"/>
        </w:rPr>
        <w:t xml:space="preserve"> (PDF, 32 B) – Non critique</w:t>
      </w:r>
      <w:r>
        <w:rPr>
          <w:highlight w:val="none"/>
        </w:rPr>
      </w:r>
    </w:p>
    <w:p w14:paraId="6F80633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/>
        <w:rPr>
          <w:highlight w:val="none"/>
        </w:rPr>
      </w:pPr>
      <w:r>
        <w:rPr>
          <w:rFonts w:ascii="Arial" w:hAnsi="Arial" w:eastAsia="Arial" w:cs="Arial"/>
          <w:i/>
          <w:iCs/>
          <w:color w:val="444746"/>
          <w:sz w:val="24"/>
          <w:highlight w:val="none"/>
        </w:rPr>
        <w:t xml:space="preserve">cyber_intro.pdf</w:t>
      </w:r>
      <w:r>
        <w:rPr>
          <w:rFonts w:ascii="Arial" w:hAnsi="Arial" w:eastAsia="Arial" w:cs="Arial"/>
          <w:color w:val="1f1f1f"/>
          <w:sz w:val="24"/>
          <w:highlight w:val="none"/>
        </w:rPr>
        <w:t xml:space="preserve"> (PDF, 37 B) – Non critique</w:t>
      </w:r>
      <w:r>
        <w:rPr>
          <w:highlight w:val="none"/>
        </w:rPr>
      </w:r>
    </w:p>
    <w:p w14:paraId="3CB7BD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/>
        <w:rPr>
          <w:highlight w:val="none"/>
        </w:rPr>
      </w:pPr>
      <w:r>
        <w:rPr>
          <w:rFonts w:ascii="Arial" w:hAnsi="Arial" w:eastAsia="Arial" w:cs="Arial"/>
          <w:i/>
          <w:iCs/>
          <w:color w:val="444746"/>
          <w:sz w:val="24"/>
          <w:highlight w:val="none"/>
        </w:rPr>
        <w:t xml:space="preserve">gestion_methodes.pdf</w:t>
      </w:r>
      <w:r>
        <w:rPr>
          <w:rFonts w:ascii="Arial" w:hAnsi="Arial" w:eastAsia="Arial" w:cs="Arial"/>
          <w:color w:val="1f1f1f"/>
          <w:sz w:val="24"/>
          <w:highlight w:val="none"/>
        </w:rPr>
        <w:t xml:space="preserve"> (PDF, 37 B) – Non critique</w:t>
      </w:r>
      <w:r>
        <w:rPr>
          <w:highlight w:val="none"/>
        </w:rPr>
      </w:r>
    </w:p>
    <w:p w14:paraId="3EF6FED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/>
        <w:rPr>
          <w:highlight w:val="none"/>
        </w:rPr>
      </w:pPr>
      <w:r>
        <w:rPr>
          <w:rFonts w:ascii="Arial" w:hAnsi="Arial" w:eastAsia="Arial" w:cs="Arial"/>
          <w:i/>
          <w:iCs/>
          <w:color w:val="444746"/>
          <w:sz w:val="24"/>
          <w:highlight w:val="none"/>
        </w:rPr>
        <w:t xml:space="preserve">linux_video1.mp4</w:t>
      </w:r>
      <w:r>
        <w:rPr>
          <w:rFonts w:ascii="Arial" w:hAnsi="Arial" w:eastAsia="Arial" w:cs="Arial"/>
          <w:color w:val="1f1f1f"/>
          <w:sz w:val="24"/>
          <w:highlight w:val="none"/>
        </w:rPr>
        <w:t xml:space="preserve"> (Vidéo, 33 B) – Non critique</w:t>
      </w:r>
      <w:r>
        <w:rPr>
          <w:highlight w:val="none"/>
        </w:rPr>
      </w:r>
    </w:p>
    <w:p w14:paraId="2ECB15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/>
        <w:rPr>
          <w:highlight w:val="none"/>
        </w:rPr>
      </w:pPr>
      <w:r>
        <w:rPr>
          <w:rFonts w:ascii="Arial" w:hAnsi="Arial" w:eastAsia="Arial" w:cs="Arial"/>
          <w:i/>
          <w:iCs/>
          <w:color w:val="444746"/>
          <w:sz w:val="24"/>
          <w:highlight w:val="none"/>
        </w:rPr>
        <w:t xml:space="preserve">logo.png</w:t>
      </w:r>
      <w:r>
        <w:rPr>
          <w:rFonts w:ascii="Arial" w:hAnsi="Arial" w:eastAsia="Arial" w:cs="Arial"/>
          <w:i/>
          <w:iCs/>
          <w:color w:val="1f1f1f"/>
          <w:sz w:val="24"/>
          <w:highlight w:val="none"/>
        </w:rPr>
        <w:t xml:space="preserve"> </w:t>
      </w:r>
      <w:r>
        <w:rPr>
          <w:rFonts w:ascii="Arial" w:hAnsi="Arial" w:eastAsia="Arial" w:cs="Arial"/>
          <w:color w:val="1f1f1f"/>
          <w:sz w:val="24"/>
          <w:highlight w:val="none"/>
        </w:rPr>
        <w:t xml:space="preserve">(Image, 20 B) – Non critique</w:t>
      </w:r>
      <w:r>
        <w:rPr>
          <w:rFonts w:ascii="Arial" w:hAnsi="Arial" w:eastAsia="Arial" w:cs="Arial"/>
          <w:sz w:val="24"/>
          <w:highlight w:val="none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highlight w:val="none"/>
        </w:rPr>
      </w:r>
    </w:p>
    <w:p w14:paraId="6B96A8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1f1f1f"/>
          <w:sz w:val="24"/>
          <w:highlight w:val="none"/>
        </w:rPr>
      </w:r>
      <w:r>
        <w:rPr>
          <w:rFonts w:ascii="Arial" w:hAnsi="Arial" w:eastAsia="Arial" w:cs="Arial"/>
          <w:color w:val="1f1f1f"/>
          <w:sz w:val="24"/>
          <w:highlight w:val="none"/>
        </w:rPr>
      </w:r>
      <w:r>
        <w:rPr>
          <w:rFonts w:ascii="Arial" w:hAnsi="Arial" w:eastAsia="Arial" w:cs="Arial"/>
          <w:color w:val="1f1f1f"/>
          <w:sz w:val="24"/>
          <w:highlight w:val="none"/>
        </w:rPr>
      </w:r>
    </w:p>
    <w:p w14:paraId="0C95F239">
      <w:pPr>
        <w:pStyle w:val="140"/>
        <w:pBdr/>
        <w:spacing/>
        <w:ind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1.3 Contraintes techniques et ordonnancement</w:t>
      </w:r>
      <w:r/>
    </w:p>
    <w:p w14:paraId="17925D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Bande passante :</w:t>
      </w:r>
      <w:r>
        <w:rPr>
          <w:rFonts w:ascii="Arial" w:hAnsi="Arial" w:eastAsia="Arial" w:cs="Arial"/>
          <w:color w:val="1f1f1f"/>
          <w:sz w:val="24"/>
        </w:rPr>
        <w:t xml:space="preserve"> Simulée localement via un réseau Docker bridge (latence nulle).</w:t>
      </w:r>
      <w:r/>
    </w:p>
    <w:p w14:paraId="6CD226E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Fenêtre de maintenance autorisée :</w:t>
      </w:r>
      <w:r>
        <w:rPr>
          <w:rFonts w:ascii="Arial" w:hAnsi="Arial" w:eastAsia="Arial" w:cs="Arial"/>
          <w:color w:val="1f1f1f"/>
          <w:sz w:val="24"/>
        </w:rPr>
        <w:t xml:space="preserve"> 2 heures maximum pour la coupure de service.</w:t>
      </w:r>
      <w:r/>
    </w:p>
    <w:p w14:paraId="60FB62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Disponibilité :</w:t>
      </w:r>
      <w:r>
        <w:rPr>
          <w:rFonts w:ascii="Arial" w:hAnsi="Arial" w:eastAsia="Arial" w:cs="Arial"/>
          <w:color w:val="1f1f1f"/>
          <w:sz w:val="24"/>
        </w:rPr>
        <w:t xml:space="preserve"> Immédiate sur le site cible dès la fin de l'opération.</w:t>
      </w:r>
      <w:r/>
    </w:p>
    <w:p w14:paraId="54A33BB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Stratégie d'insertion :</w:t>
      </w:r>
      <w:r>
        <w:rPr>
          <w:rFonts w:ascii="Arial" w:hAnsi="Arial" w:eastAsia="Arial" w:cs="Arial"/>
          <w:color w:val="1f1f1f"/>
          <w:sz w:val="24"/>
        </w:rPr>
        <w:t xml:space="preserve"> L'ordre de transfert doit impérativement respecter les contraintes d'intégrité référentielle sous peine de rejet des requêtes (</w:t>
      </w:r>
      <w:r>
        <w:rPr>
          <w:rFonts w:ascii="Arial" w:hAnsi="Arial" w:eastAsia="Arial" w:cs="Arial"/>
          <w:i/>
          <w:iCs/>
          <w:color w:val="444746"/>
          <w:sz w:val="24"/>
          <w:highlight w:val="none"/>
        </w:rPr>
        <w:t xml:space="preserve">INSERT</w:t>
      </w:r>
      <w:r>
        <w:rPr>
          <w:rFonts w:ascii="Arial" w:hAnsi="Arial" w:eastAsia="Arial" w:cs="Arial"/>
          <w:i/>
          <w:iCs/>
          <w:color w:val="1f1f1f"/>
          <w:sz w:val="24"/>
          <w:highlight w:val="none"/>
        </w:rPr>
        <w:t xml:space="preserve">)</w:t>
      </w:r>
      <w:r>
        <w:rPr>
          <w:rFonts w:ascii="Arial" w:hAnsi="Arial" w:eastAsia="Arial" w:cs="Arial"/>
          <w:color w:val="1f1f1f"/>
          <w:sz w:val="24"/>
        </w:rPr>
        <w:t xml:space="preserve"> par la base de données.</w:t>
      </w:r>
      <w:r>
        <w:rPr>
          <w:rFonts w:ascii="Arial" w:hAnsi="Arial" w:eastAsia="Arial" w:cs="Arial"/>
          <w:sz w:val="24"/>
        </w:rPr>
      </w:r>
    </w:p>
    <w:p w14:paraId="3850A1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1f1f1f"/>
          <w:sz w:val="24"/>
          <w:highlight w:val="none"/>
        </w:rPr>
      </w:r>
      <w:r>
        <w:rPr>
          <w:rFonts w:ascii="Arial" w:hAnsi="Arial" w:eastAsia="Arial" w:cs="Arial"/>
          <w:color w:val="1f1f1f"/>
          <w:sz w:val="24"/>
          <w:highlight w:val="none"/>
        </w:rPr>
      </w:r>
      <w:r>
        <w:rPr>
          <w:rFonts w:ascii="Arial" w:hAnsi="Arial" w:eastAsia="Arial" w:cs="Arial"/>
          <w:color w:val="1f1f1f"/>
          <w:sz w:val="24"/>
          <w:highlight w:val="none"/>
        </w:rPr>
      </w:r>
    </w:p>
    <w:p w14:paraId="1F195E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Ordre chronologique d'exécution retenu :</w:t>
      </w:r>
      <w:r/>
    </w:p>
    <w:p w14:paraId="5827C82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/>
        <w:rPr/>
      </w:pPr>
      <w:r>
        <w:rPr>
          <w:rFonts w:ascii="Arial" w:hAnsi="Arial" w:eastAsia="Arial" w:cs="Arial"/>
          <w:i/>
          <w:iCs/>
          <w:color w:val="444746"/>
          <w:sz w:val="24"/>
          <w:highlight w:val="none"/>
        </w:rPr>
        <w:t xml:space="preserve">utilisateurs</w:t>
      </w:r>
      <w:r>
        <w:rPr>
          <w:rFonts w:ascii="Arial" w:hAnsi="Arial" w:eastAsia="Arial" w:cs="Arial"/>
          <w:color w:val="1f1f1f"/>
          <w:sz w:val="24"/>
        </w:rPr>
        <w:t xml:space="preserve"> (Table parent)</w:t>
      </w:r>
      <w:r/>
    </w:p>
    <w:p w14:paraId="419CB18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/>
        <w:rPr/>
      </w:pPr>
      <w:r>
        <w:rPr>
          <w:rFonts w:ascii="Arial" w:hAnsi="Arial" w:eastAsia="Arial" w:cs="Arial"/>
          <w:i/>
          <w:iCs/>
          <w:color w:val="444746"/>
          <w:sz w:val="24"/>
          <w:highlight w:val="none"/>
        </w:rPr>
        <w:t xml:space="preserve">formations</w:t>
      </w:r>
      <w:r>
        <w:rPr>
          <w:rFonts w:ascii="Arial" w:hAnsi="Arial" w:eastAsia="Arial" w:cs="Arial"/>
          <w:color w:val="1f1f1f"/>
          <w:sz w:val="24"/>
        </w:rPr>
        <w:t xml:space="preserve"> (Table parent)</w:t>
      </w:r>
      <w:r/>
    </w:p>
    <w:p w14:paraId="34BC275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/>
        <w:rPr/>
      </w:pPr>
      <w:r>
        <w:rPr>
          <w:rFonts w:ascii="Arial" w:hAnsi="Arial" w:eastAsia="Arial" w:cs="Arial"/>
          <w:i/>
          <w:iCs/>
          <w:color w:val="444746"/>
          <w:sz w:val="24"/>
          <w:highlight w:val="none"/>
        </w:rPr>
        <w:t xml:space="preserve">progressions</w:t>
      </w:r>
      <w:r>
        <w:rPr>
          <w:rFonts w:ascii="Arial" w:hAnsi="Arial" w:eastAsia="Arial" w:cs="Arial"/>
          <w:color w:val="1f1f1f"/>
          <w:sz w:val="24"/>
        </w:rPr>
        <w:t xml:space="preserve"> (Dépend des tables 1 et 2)</w:t>
      </w:r>
      <w:r/>
    </w:p>
    <w:p w14:paraId="6D805A3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/>
        <w:rPr/>
      </w:pPr>
      <w:r>
        <w:rPr>
          <w:rFonts w:ascii="Arial" w:hAnsi="Arial" w:eastAsia="Arial" w:cs="Arial"/>
          <w:i/>
          <w:iCs/>
          <w:color w:val="444746"/>
          <w:sz w:val="24"/>
          <w:highlight w:val="none"/>
        </w:rPr>
        <w:t xml:space="preserve">resultats_examens</w:t>
      </w:r>
      <w:r>
        <w:rPr>
          <w:rFonts w:ascii="Arial" w:hAnsi="Arial" w:eastAsia="Arial" w:cs="Arial"/>
          <w:color w:val="1f1f1f"/>
          <w:sz w:val="24"/>
        </w:rPr>
        <w:t xml:space="preserve"> (Dépend des tables 1 et 2)</w:t>
      </w:r>
      <w:r>
        <w:rPr>
          <w:rFonts w:ascii="Arial" w:hAnsi="Arial" w:eastAsia="Arial" w:cs="Arial"/>
          <w:sz w:val="24"/>
        </w:rPr>
      </w:r>
    </w:p>
    <w:p w14:paraId="15ADAB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1f1f1f"/>
          <w:sz w:val="24"/>
          <w:highlight w:val="none"/>
        </w:rPr>
      </w:r>
      <w:r>
        <w:rPr>
          <w:rFonts w:ascii="Arial" w:hAnsi="Arial" w:eastAsia="Arial" w:cs="Arial"/>
          <w:color w:val="1f1f1f"/>
          <w:sz w:val="24"/>
          <w:highlight w:val="none"/>
        </w:rPr>
      </w:r>
      <w:r>
        <w:rPr>
          <w:rFonts w:ascii="Arial" w:hAnsi="Arial" w:eastAsia="Arial" w:cs="Arial"/>
          <w:color w:val="1f1f1f"/>
          <w:sz w:val="24"/>
          <w:highlight w:val="none"/>
        </w:rPr>
      </w:r>
    </w:p>
    <w:p w14:paraId="6627227E">
      <w:pPr>
        <w:pStyle w:val="139"/>
        <w:pBdr/>
        <w:spacing/>
        <w:ind/>
        <w:rPr/>
      </w:pPr>
      <w:r>
        <w:rPr>
          <w:rFonts w:ascii="Arial" w:hAnsi="Arial" w:eastAsia="Arial" w:cs="Arial"/>
          <w:b/>
          <w:color w:val="1f1f1f"/>
          <w:sz w:val="36"/>
        </w:rPr>
        <w:t xml:space="preserve">2. Évaluation des stratégies de migration</w:t>
      </w:r>
      <w:r/>
    </w:p>
    <w:p w14:paraId="35E3357C">
      <w:pPr>
        <w:pStyle w:val="140"/>
        <w:pBdr/>
        <w:spacing/>
        <w:ind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2.1 Approche "Big Bang" (Niveau 1)</w:t>
      </w:r>
      <w:r/>
    </w:p>
    <w:p w14:paraId="240068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La migration Big Bang consiste à arrêter complètement le service source, transférer toutes les données d'un </w:t>
      </w:r>
      <w:r/>
      <w:r>
        <w:t xml:space="preserve">coup, puis redémarrer sur la cible. C'est la méthode la plus simple mais aussi la plus risquée.</w:t>
      </w:r>
      <w:r/>
      <w:r/>
      <w:r/>
    </w:p>
    <w:p w14:paraId="7AD02847">
      <w:pPr>
        <w:pBdr/>
        <w:spacing/>
        <w:ind/>
        <w:rPr>
          <w:bCs/>
          <w:i/>
        </w:rPr>
      </w:pPr>
      <w:r>
        <w:rPr>
          <w:rFonts w:ascii="Arial" w:hAnsi="Arial" w:eastAsia="Arial" w:cs="Arial"/>
          <w:b/>
          <w:i/>
          <w:iCs/>
          <w:color w:val="1f1f1f"/>
          <w:sz w:val="24"/>
        </w:rPr>
        <w:t xml:space="preserve">Chronologie des mesures (Données de test)</w:t>
      </w:r>
      <w:r>
        <w:rPr>
          <w:i/>
          <w:iCs/>
        </w:rPr>
      </w:r>
    </w:p>
    <w:p w14:paraId="13AFF50B">
      <w:pPr>
        <w:pStyle w:val="668"/>
        <w:numPr>
          <w:ilvl w:val="0"/>
          <w:numId w:val="13"/>
        </w:numPr>
        <w:pBdr/>
        <w:spacing/>
        <w:ind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Début de la coupure :</w:t>
      </w:r>
      <w:r>
        <w:rPr>
          <w:rFonts w:ascii="Arial" w:hAnsi="Arial" w:eastAsia="Arial" w:cs="Arial"/>
          <w:color w:val="1f1f1f"/>
          <w:sz w:val="24"/>
        </w:rPr>
        <w:t xml:space="preserve"> 11:34:37</w:t>
      </w:r>
      <w:r/>
    </w:p>
    <w:p w14:paraId="5D95BD3A">
      <w:pPr>
        <w:pStyle w:val="668"/>
        <w:numPr>
          <w:ilvl w:val="0"/>
          <w:numId w:val="13"/>
        </w:numPr>
        <w:pBdr/>
        <w:spacing/>
        <w:ind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Export via pg_dump :</w:t>
      </w:r>
      <w:r>
        <w:rPr>
          <w:rFonts w:ascii="Arial" w:hAnsi="Arial" w:eastAsia="Arial" w:cs="Arial"/>
          <w:color w:val="1f1f1f"/>
          <w:sz w:val="24"/>
        </w:rPr>
        <w:t xml:space="preserve"> Validé (Fichier de 12 Ko)</w:t>
      </w:r>
      <w:r/>
    </w:p>
    <w:p w14:paraId="64A904D4">
      <w:pPr>
        <w:pStyle w:val="668"/>
        <w:numPr>
          <w:ilvl w:val="0"/>
          <w:numId w:val="13"/>
        </w:numPr>
        <w:pBdr/>
        <w:spacing/>
        <w:ind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Transfert (rsync + MD5) :</w:t>
      </w:r>
      <w:r>
        <w:rPr>
          <w:rFonts w:ascii="Arial" w:hAnsi="Arial" w:eastAsia="Arial" w:cs="Arial"/>
          <w:color w:val="1f1f1f"/>
          <w:sz w:val="24"/>
        </w:rPr>
        <w:t xml:space="preserve"> Validé (5 fichiers, checksums identiques)</w:t>
      </w:r>
      <w:r/>
    </w:p>
    <w:p w14:paraId="0E97816F">
      <w:pPr>
        <w:pStyle w:val="668"/>
        <w:numPr>
          <w:ilvl w:val="0"/>
          <w:numId w:val="13"/>
        </w:numPr>
        <w:pBdr/>
        <w:spacing/>
        <w:ind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Restauration (pg_restore) :</w:t>
      </w:r>
      <w:r>
        <w:rPr>
          <w:rFonts w:ascii="Arial" w:hAnsi="Arial" w:eastAsia="Arial" w:cs="Arial"/>
          <w:color w:val="1f1f1f"/>
          <w:sz w:val="24"/>
        </w:rPr>
        <w:t xml:space="preserve"> Validé (4 tables restaurées avec clés étrangères)</w:t>
      </w:r>
      <w:r/>
    </w:p>
    <w:p w14:paraId="25C4F69F">
      <w:pPr>
        <w:pStyle w:val="668"/>
        <w:numPr>
          <w:ilvl w:val="0"/>
          <w:numId w:val="13"/>
        </w:numPr>
        <w:pBdr/>
        <w:spacing/>
        <w:ind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Contrôle d'intégrité :</w:t>
      </w:r>
      <w:r>
        <w:rPr>
          <w:rFonts w:ascii="Arial" w:hAnsi="Arial" w:eastAsia="Arial" w:cs="Arial"/>
          <w:color w:val="1f1f1f"/>
          <w:sz w:val="24"/>
        </w:rPr>
        <w:t xml:space="preserve"> Conforme (Source = Cible sur l'ensemble des tables)</w:t>
      </w:r>
      <w:r/>
    </w:p>
    <w:p w14:paraId="48BA444D">
      <w:pPr>
        <w:pStyle w:val="668"/>
        <w:numPr>
          <w:ilvl w:val="0"/>
          <w:numId w:val="13"/>
        </w:numPr>
        <w:pBdr/>
        <w:spacing/>
        <w:ind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Fin de la coupure :</w:t>
      </w:r>
      <w:r>
        <w:rPr>
          <w:rFonts w:ascii="Arial" w:hAnsi="Arial" w:eastAsia="Arial" w:cs="Arial"/>
          <w:color w:val="1f1f1f"/>
          <w:sz w:val="24"/>
        </w:rPr>
        <w:t xml:space="preserve"> 11:35:07</w:t>
      </w:r>
      <w:r/>
    </w:p>
    <w:p w14:paraId="1E1E1538">
      <w:pPr>
        <w:pStyle w:val="668"/>
        <w:numPr>
          <w:ilvl w:val="0"/>
          <w:numId w:val="13"/>
        </w:numPr>
        <w:pBdr/>
        <w:spacing/>
        <w:ind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Temps d'indisponibilité réel :</w:t>
      </w:r>
      <w:r>
        <w:rPr>
          <w:rFonts w:ascii="Arial" w:hAnsi="Arial" w:eastAsia="Arial" w:cs="Arial"/>
          <w:color w:val="1f1f1f"/>
          <w:sz w:val="24"/>
        </w:rPr>
        <w:t xml:space="preserve"> 30 secondes</w:t>
      </w:r>
      <w:r/>
    </w:p>
    <w:p w14:paraId="149CBBB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>
          <w14:ligatures w14:val="none"/>
        </w:rPr>
      </w:pPr>
      <w:r>
        <w:rPr>
          <w:highlight w:val="none"/>
        </w:rPr>
        <w:t xml:space="preserve">Question d’analyse – Niveau 1</w:t>
      </w:r>
      <w:r/>
    </w:p>
    <w:p w14:paraId="1FABB801">
      <w:pPr>
        <w:pStyle w:val="668"/>
        <w:numPr>
          <w:ilvl w:val="0"/>
          <w:numId w:val="6"/>
        </w:num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  <w:t xml:space="preserve">Combien de temps a duré la coupure ? Etait-ce dans la fen</w:t>
      </w:r>
      <w:r>
        <w:rPr>
          <w:b/>
          <w:bCs/>
          <w:highlight w:val="none"/>
        </w:rPr>
        <w:t xml:space="preserve">être de 2h ?</w:t>
      </w:r>
      <w:r>
        <w:rPr>
          <w:b/>
          <w:bCs/>
          <w:highlight w:val="none"/>
        </w:rPr>
      </w:r>
    </w:p>
    <w:p w14:paraId="32E6E073">
      <w:pPr>
        <w:pStyle w:val="668"/>
        <w:numPr>
          <w:ilvl w:val="1"/>
          <w:numId w:val="6"/>
        </w:numPr>
        <w:pBdr/>
        <w:spacing/>
        <w:ind/>
        <w:rPr>
          <w14:ligatures w14:val="none"/>
        </w:rPr>
      </w:pPr>
      <w:r>
        <w:t xml:space="preserve">~30 secondes sur données de test. Oui, dans la fenêtre. En production réelle avec plusieurs Go de </w:t>
      </w:r>
      <w:r/>
      <w:r>
        <w:t xml:space="preserve">données, la durée serait de 30 min à plusieurs heures, potentiellement hors fenêtre.</w:t>
      </w:r>
      <w:r>
        <w:rPr>
          <w:highlight w:val="none"/>
        </w:rPr>
      </w:r>
      <w:r/>
      <w:r/>
    </w:p>
    <w:p w14:paraId="1E68672A">
      <w:pPr>
        <w:pStyle w:val="668"/>
        <w:numPr>
          <w:ilvl w:val="0"/>
          <w:numId w:val="6"/>
        </w:num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  <w:t xml:space="preserve">Quels sont les risque d’une migration Big Bang en production réelle ?</w:t>
      </w:r>
      <w:r>
        <w:rPr>
          <w:b/>
          <w:bCs/>
          <w:highlight w:val="none"/>
        </w:rPr>
      </w:r>
    </w:p>
    <w:p w14:paraId="593D39E5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14:ligatures w14:val="none"/>
        </w:rPr>
      </w:pPr>
      <w:r>
        <w:t xml:space="preserve">Perte totale de données si la restauration échoue, service indisponible pendant toute la durée du </w:t>
      </w:r>
      <w:r/>
      <w:r>
        <w:t xml:space="preserve">transfert, rollback long et risqué, aucune possibilité de revenir en arrière facilement si des données ont été </w:t>
      </w:r>
      <w:r>
        <w:t xml:space="preserve">écrites sur la source après l'export.</w:t>
      </w:r>
      <w:r/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427EFD87">
      <w:pPr>
        <w:pStyle w:val="668"/>
        <w:numPr>
          <w:ilvl w:val="0"/>
          <w:numId w:val="6"/>
        </w:num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  <w:t xml:space="preserve">Que se passe-t-il si la restauration échoue à mi-chemin ?</w:t>
      </w:r>
      <w:r>
        <w:rPr>
          <w:b/>
          <w:bCs/>
          <w:highlight w:val="none"/>
        </w:rPr>
      </w:r>
    </w:p>
    <w:p w14:paraId="364BE2AE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14:ligatures w14:val="none"/>
        </w:rPr>
      </w:pPr>
      <w:r>
        <w:t xml:space="preserve">La base cible se retrouve dans un état incohérent : données partielles sans garantie d'intégrité </w:t>
      </w:r>
      <w:r/>
      <w:r>
        <w:t xml:space="preserve">référentielle. Le rollback vers la source est obligatoire, allongeant encore la durée de coupure.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/>
    </w:p>
    <w:p w14:paraId="281845E8">
      <w:pPr>
        <w:pStyle w:val="668"/>
        <w:numPr>
          <w:ilvl w:val="0"/>
          <w:numId w:val="6"/>
        </w:numPr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  <w:t xml:space="preserve">Pourquoi l’ordre de restauration des tables est il important ?</w:t>
      </w:r>
      <w:r>
        <w:rPr>
          <w:b/>
          <w:bCs/>
          <w:highlight w:val="none"/>
        </w:rPr>
      </w:r>
    </w:p>
    <w:p w14:paraId="4EB58A5F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t xml:space="preserve">Les clés étrangères imposent que les tables parent (utilisateurs, formations) existent et soient peuplées </w:t>
      </w:r>
      <w:r/>
      <w:r>
        <w:t xml:space="preserve">avant les tables enfant (progressions, resultats_examens). pg_restore gère cet ordre automatiquement via le </w:t>
      </w:r>
      <w:r/>
      <w:r>
        <w:t xml:space="preserve">format custom (.dump).</w:t>
      </w:r>
      <w:r/>
      <w:r/>
      <w:r/>
      <w:r/>
    </w:p>
    <w:p w14:paraId="45704B5E">
      <w:pPr>
        <w:pStyle w:val="668"/>
        <w:numPr>
          <w:ilvl w:val="0"/>
          <w:numId w:val="6"/>
        </w:numPr>
        <w:pBdr/>
        <w:spacing/>
        <w:ind/>
        <w:rPr>
          <w:b/>
          <w:bCs/>
          <w14:ligatures w14:val="none"/>
        </w:rPr>
      </w:pPr>
      <w:r>
        <w:rPr>
          <w:b/>
          <w:bCs/>
          <w:highlight w:val="none"/>
        </w:rPr>
        <w:t xml:space="preserve">Dans quel cas réel pourrait-on accepter une migration Big Bang ?</w:t>
      </w:r>
      <w:r>
        <w:rPr>
          <w:b/>
          <w:bCs/>
        </w:rPr>
      </w:r>
    </w:p>
    <w:p w14:paraId="6C911601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14:ligatures w14:val="none"/>
        </w:rPr>
      </w:pPr>
      <w:r>
        <w:t xml:space="preserve">Petite base (&lt;1 Go), fenêtre de maintenance longue autorisée (week-end), aucun utilisateur actif pendant </w:t>
      </w:r>
      <w:r/>
      <w:r>
        <w:t xml:space="preserve">la nuit, service non critique en termes de disponibilité.</w:t>
      </w:r>
      <w:r/>
      <w:r/>
      <w:r/>
      <w:r/>
      <w:r/>
      <w:r/>
      <w:r>
        <w:rPr>
          <w:highlight w:val="none"/>
        </w:rPr>
      </w:r>
      <w:r>
        <w:rPr>
          <w:highlight w:val="none"/>
        </w:rPr>
      </w:r>
      <w:r/>
    </w:p>
    <w:p w14:paraId="53A80E35">
      <w:pPr>
        <w:pStyle w:val="140"/>
        <w:pBdr/>
        <w:spacing/>
        <w:ind/>
        <w:rPr>
          <w:rFonts w:ascii="Arial" w:hAnsi="Arial" w:eastAsia="Arial" w:cs="Arial"/>
          <w:b/>
          <w:bCs/>
          <w:color w:val="1f1f1f"/>
          <w:sz w:val="28"/>
          <w:szCs w:val="28"/>
          <w:highlight w:val="none"/>
        </w:rPr>
      </w:pPr>
      <w:r>
        <w:rPr>
          <w:rFonts w:ascii="Arial" w:hAnsi="Arial" w:eastAsia="Arial" w:cs="Arial"/>
          <w:b/>
          <w:color w:val="1f1f1f"/>
          <w:sz w:val="28"/>
        </w:rPr>
        <w:t xml:space="preserve">2.2 Approche "Progressive" (Niveau 2)</w:t>
      </w:r>
      <w:r/>
    </w:p>
    <w:p w14:paraId="002742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La migration progressive consiste à synchroniser les données en avance, puis à effectuer une dernière </w:t>
      </w:r>
      <w:r/>
      <w:r>
        <w:t xml:space="preserve">synchronisation courte pendant la fenêtre de coupure. Cela réduit considérablement la durée d'interruption.</w:t>
      </w:r>
      <w:r/>
      <w:r/>
      <w:r>
        <w:rPr>
          <w:rFonts w:ascii="Arial" w:hAnsi="Arial" w:eastAsia="Arial" w:cs="Arial"/>
          <w:color w:val="1f1f1f"/>
          <w:sz w:val="24"/>
        </w:rPr>
      </w:r>
      <w:r/>
      <w:r/>
      <w:r/>
    </w:p>
    <w:p w14:paraId="5A9382C7">
      <w:pPr>
        <w:pBdr/>
        <w:spacing/>
        <w:ind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Chronologie des mesures</w:t>
      </w:r>
      <w:r/>
    </w:p>
    <w:p w14:paraId="5D2470DA">
      <w:pPr>
        <w:pStyle w:val="668"/>
        <w:numPr>
          <w:ilvl w:val="0"/>
          <w:numId w:val="14"/>
        </w:numPr>
        <w:pBdr/>
        <w:spacing/>
        <w:ind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Synchronisation initiale (Hors coupure) :</w:t>
      </w:r>
      <w:r>
        <w:rPr>
          <w:rFonts w:ascii="Arial" w:hAnsi="Arial" w:eastAsia="Arial" w:cs="Arial"/>
          <w:color w:val="1f1f1f"/>
          <w:sz w:val="24"/>
        </w:rPr>
        <w:t xml:space="preserve"> 12:07:08 (4 tables + 5 fichiers transférés)</w:t>
      </w:r>
      <w:r/>
    </w:p>
    <w:p w14:paraId="68AA31DE">
      <w:pPr>
        <w:pStyle w:val="668"/>
        <w:numPr>
          <w:ilvl w:val="0"/>
          <w:numId w:val="14"/>
        </w:numPr>
        <w:pBdr/>
        <w:spacing/>
        <w:ind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Simulation d'activité :</w:t>
      </w:r>
      <w:r>
        <w:rPr>
          <w:rFonts w:ascii="Arial" w:hAnsi="Arial" w:eastAsia="Arial" w:cs="Arial"/>
          <w:color w:val="1f1f1f"/>
          <w:sz w:val="24"/>
        </w:rPr>
        <w:t xml:space="preserve"> Ajout de 2 utilisateurs, 1 progression, 1 résultat et 1 fichier.</w:t>
      </w:r>
      <w:r/>
    </w:p>
    <w:p w14:paraId="0BC1CE7C">
      <w:pPr>
        <w:pStyle w:val="668"/>
        <w:numPr>
          <w:ilvl w:val="0"/>
          <w:numId w:val="14"/>
        </w:numPr>
        <w:pBdr/>
        <w:spacing/>
        <w:ind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Synchronisation différentielle :</w:t>
      </w:r>
      <w:r>
        <w:rPr>
          <w:rFonts w:ascii="Arial" w:hAnsi="Arial" w:eastAsia="Arial" w:cs="Arial"/>
          <w:color w:val="1f1f1f"/>
          <w:sz w:val="24"/>
        </w:rPr>
        <w:t xml:space="preserve"> Transfert ciblé du nouveau document (</w:t>
      </w:r>
      <w:r>
        <w:rPr>
          <w:rFonts w:ascii="Arial" w:hAnsi="Arial" w:eastAsia="Arial" w:cs="Arial"/>
          <w:i/>
          <w:iCs/>
          <w:color w:val="444746"/>
          <w:sz w:val="24"/>
          <w:highlight w:val="none"/>
        </w:rPr>
        <w:t xml:space="preserve">python_intro.pdf</w:t>
      </w:r>
      <w:r>
        <w:rPr>
          <w:rFonts w:ascii="Arial" w:hAnsi="Arial" w:eastAsia="Arial" w:cs="Arial"/>
          <w:color w:val="1f1f1f"/>
          <w:sz w:val="24"/>
        </w:rPr>
        <w:t xml:space="preserve">). Les 6 autres fichiers inchangés ont été ignorés par </w:t>
      </w:r>
      <w:r>
        <w:rPr>
          <w:rFonts w:ascii="Arial" w:hAnsi="Arial" w:eastAsia="Arial" w:cs="Arial"/>
          <w:i/>
          <w:iCs/>
          <w:color w:val="444746"/>
          <w:sz w:val="24"/>
          <w:highlight w:val="none"/>
        </w:rPr>
        <w:t xml:space="preserve">rsync</w:t>
      </w:r>
      <w:r>
        <w:rPr>
          <w:rFonts w:ascii="Arial" w:hAnsi="Arial" w:eastAsia="Arial" w:cs="Arial"/>
          <w:color w:val="1f1f1f"/>
          <w:sz w:val="24"/>
        </w:rPr>
        <w:t xml:space="preserve">.</w:t>
      </w:r>
      <w:r/>
    </w:p>
    <w:p w14:paraId="6D30AF1C">
      <w:pPr>
        <w:pStyle w:val="668"/>
        <w:numPr>
          <w:ilvl w:val="0"/>
          <w:numId w:val="14"/>
        </w:numPr>
        <w:pBdr/>
        <w:spacing/>
        <w:ind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Début de la coupure de service :</w:t>
      </w:r>
      <w:r>
        <w:rPr>
          <w:rFonts w:ascii="Arial" w:hAnsi="Arial" w:eastAsia="Arial" w:cs="Arial"/>
          <w:color w:val="1f1f1f"/>
          <w:sz w:val="24"/>
        </w:rPr>
        <w:t xml:space="preserve"> 12:07:27</w:t>
      </w:r>
      <w:r/>
    </w:p>
    <w:p w14:paraId="293EBB9F">
      <w:pPr>
        <w:pStyle w:val="668"/>
        <w:numPr>
          <w:ilvl w:val="0"/>
          <w:numId w:val="14"/>
        </w:numPr>
        <w:pBdr/>
        <w:spacing/>
        <w:ind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Synchronisation finale et restauration du delta :</w:t>
      </w:r>
      <w:r>
        <w:rPr>
          <w:rFonts w:ascii="Arial" w:hAnsi="Arial" w:eastAsia="Arial" w:cs="Arial"/>
          <w:color w:val="1f1f1f"/>
          <w:sz w:val="24"/>
        </w:rPr>
        <w:t xml:space="preserve"> Validée (Source = Cible)</w:t>
      </w:r>
      <w:r/>
    </w:p>
    <w:p w14:paraId="2FDF02D7">
      <w:pPr>
        <w:pStyle w:val="668"/>
        <w:numPr>
          <w:ilvl w:val="0"/>
          <w:numId w:val="14"/>
        </w:numPr>
        <w:pBdr/>
        <w:spacing/>
        <w:ind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Fin de la coupure de service :</w:t>
      </w:r>
      <w:r>
        <w:rPr>
          <w:rFonts w:ascii="Arial" w:hAnsi="Arial" w:eastAsia="Arial" w:cs="Arial"/>
          <w:color w:val="1f1f1f"/>
          <w:sz w:val="24"/>
        </w:rPr>
        <w:t xml:space="preserve"> 12:07:40</w:t>
      </w:r>
      <w:r/>
    </w:p>
    <w:p w14:paraId="362A0B61">
      <w:pPr>
        <w:pStyle w:val="668"/>
        <w:numPr>
          <w:ilvl w:val="0"/>
          <w:numId w:val="14"/>
        </w:numPr>
        <w:pBdr/>
        <w:spacing/>
        <w:ind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Temps d'indisponibilité réel :</w:t>
      </w:r>
      <w:r>
        <w:rPr>
          <w:rFonts w:ascii="Arial" w:hAnsi="Arial" w:eastAsia="Arial" w:cs="Arial"/>
          <w:color w:val="1f1f1f"/>
          <w:sz w:val="24"/>
        </w:rPr>
        <w:t xml:space="preserve"> 13 secondes</w:t>
      </w:r>
      <w:r/>
    </w:p>
    <w:p w14:paraId="3D781149">
      <w:pPr>
        <w:pStyle w:val="668"/>
        <w:numPr>
          <w:ilvl w:val="0"/>
          <w:numId w:val="14"/>
        </w:numPr>
        <w:pBdr/>
        <w:spacing/>
        <w:ind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Validation :</w:t>
      </w:r>
      <w:r>
        <w:rPr>
          <w:rFonts w:ascii="Arial" w:hAnsi="Arial" w:eastAsia="Arial" w:cs="Arial"/>
          <w:color w:val="1f1f1f"/>
          <w:sz w:val="24"/>
        </w:rPr>
        <w:t xml:space="preserve"> Tests d'écriture (</w:t>
      </w:r>
      <w:r>
        <w:rPr>
          <w:rFonts w:ascii="Arial" w:hAnsi="Arial" w:eastAsia="Arial" w:cs="Arial"/>
          <w:i/>
          <w:iCs/>
          <w:color w:val="444746"/>
          <w:sz w:val="24"/>
          <w:highlight w:val="none"/>
        </w:rPr>
        <w:t xml:space="preserve">INSERT</w:t>
      </w:r>
      <w:r>
        <w:rPr>
          <w:rFonts w:ascii="Arial" w:hAnsi="Arial" w:eastAsia="Arial" w:cs="Arial"/>
          <w:i/>
          <w:iCs/>
          <w:color w:val="1f1f1f"/>
          <w:sz w:val="24"/>
          <w:highlight w:val="none"/>
        </w:rPr>
        <w:t xml:space="preserve">/</w:t>
      </w:r>
      <w:r>
        <w:rPr>
          <w:rFonts w:ascii="Arial" w:hAnsi="Arial" w:eastAsia="Arial" w:cs="Arial"/>
          <w:i/>
          <w:iCs/>
          <w:color w:val="444746"/>
          <w:sz w:val="24"/>
          <w:highlight w:val="none"/>
        </w:rPr>
        <w:t xml:space="preserve">DELETE</w:t>
      </w:r>
      <w:r>
        <w:rPr>
          <w:rFonts w:ascii="Arial" w:hAnsi="Arial" w:eastAsia="Arial" w:cs="Arial"/>
          <w:color w:val="1f1f1f"/>
          <w:sz w:val="24"/>
        </w:rPr>
        <w:t xml:space="preserve">) d'Afrique validés sur la cible.</w:t>
      </w:r>
      <w:r/>
    </w:p>
    <w:p w14:paraId="5F4677EE">
      <w:pPr>
        <w:pStyle w:val="141"/>
        <w:pBdr/>
        <w:spacing/>
        <w:ind/>
        <w:rPr>
          <w14:ligatures w14:val="none"/>
        </w:rPr>
      </w:pPr>
      <w:r>
        <w:t xml:space="preserve">Questions d'analyse – Niveau 2</w:t>
      </w:r>
      <w:r/>
    </w:p>
    <w:p w14:paraId="4BDDA80D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14:ligatures w14:val="none"/>
        </w:rPr>
      </w:pPr>
      <w:r>
        <w:rPr>
          <w:b/>
          <w:bCs/>
        </w:rPr>
        <w:t xml:space="preserve">Comparez la durée de coupure entre le Niveau 1 et le Niveau 2.</w:t>
      </w:r>
      <w:r>
        <w:rPr>
          <w:b/>
          <w:bCs/>
        </w:rPr>
      </w:r>
    </w:p>
    <w:p w14:paraId="33BF454E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14:ligatures w14:val="none"/>
        </w:rPr>
      </w:pPr>
      <w:r>
        <w:t xml:space="preserve">N1 : ~30 secondes (tout le transfert se fait pendant la coupure). </w:t>
      </w:r>
      <w:r/>
    </w:p>
    <w:p w14:paraId="09B0CC11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14:ligatures w14:val="none"/>
        </w:rPr>
      </w:pPr>
      <w:r>
        <w:t xml:space="preserve">N2 : ~13 secondes (seul le delta final est </w:t>
      </w:r>
      <w:r>
        <w:t xml:space="preserve">transféré pendant la coupure). La sync préalable réduit la fenêtre de ~55%.</w:t>
      </w:r>
      <w:r/>
      <w:r/>
    </w:p>
    <w:p w14:paraId="62C90B21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14:ligatures w14:val="none"/>
        </w:rPr>
      </w:pPr>
      <w:r>
        <w:rPr>
          <w:b/>
          <w:bCs/>
        </w:rPr>
        <w:t xml:space="preserve">Pourquoi l'option --delete de rsync est-elle importante lors de la sync finale ?</w:t>
      </w:r>
      <w:r>
        <w:rPr>
          <w:b/>
          <w:bCs/>
        </w:rPr>
      </w:r>
    </w:p>
    <w:p w14:paraId="228DFD03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14:ligatures w14:val="none"/>
        </w:rPr>
      </w:pPr>
      <w:r>
        <w:t xml:space="preserve">Sans --delete, les fichiers supprimés sur la source depuis la dernière sync resteraient présents sur la </w:t>
      </w:r>
      <w:r>
        <w:t xml:space="preserve">cible. Toulouse se retrouverait avec des fichiers obsolètes qui n'existent plus à Montpellier, créant une </w:t>
      </w:r>
      <w:r/>
      <w:r>
        <w:t xml:space="preserve">incohérence de l'état final.</w:t>
      </w:r>
      <w:r/>
      <w:r/>
      <w:r/>
    </w:p>
    <w:p w14:paraId="578E8E93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14:ligatures w14:val="none"/>
        </w:rPr>
      </w:pPr>
      <w:r>
        <w:rPr>
          <w:b/>
          <w:bCs/>
        </w:rPr>
        <w:t xml:space="preserve">Que se passe-t-il si un utilisateur s'inscrit entre la sync initiale et la coupure ?</w:t>
      </w:r>
      <w:r>
        <w:rPr>
          <w:b/>
          <w:bCs/>
        </w:rPr>
      </w:r>
    </w:p>
    <w:p w14:paraId="1022B86E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14:ligatures w14:val="none"/>
        </w:rPr>
      </w:pPr>
      <w:r>
        <w:t xml:space="preserve">Ce nouvel utilisateur n'est pas dans la première sync (cible = 5 users), mais il apparaît dans la sync finale </w:t>
      </w:r>
      <w:r>
        <w:t xml:space="preserve">(cible = 7 users après). Aucune perte de données : c'est précisément l'avantage du N2 par rapport au N1.</w:t>
      </w:r>
      <w:r/>
      <w:r/>
    </w:p>
    <w:p w14:paraId="14011EC1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14:ligatures w14:val="none"/>
        </w:rPr>
      </w:pPr>
      <w:r>
        <w:rPr>
          <w:b/>
          <w:bCs/>
        </w:rPr>
        <w:t xml:space="preserve">Pourquoi vérifie-t-on les comptages AVANT de basculer ?</w:t>
      </w:r>
      <w:r>
        <w:rPr>
          <w:b/>
          <w:bCs/>
        </w:rPr>
      </w:r>
    </w:p>
    <w:p w14:paraId="4988A972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14:ligatures w14:val="none"/>
        </w:rPr>
      </w:pPr>
      <w:r>
        <w:t xml:space="preserve">Pour éviter de mettre en service une cible incomplète. Si un écart existe, les utilisateurs finaux subiraient </w:t>
      </w:r>
      <w:r/>
      <w:r>
        <w:t xml:space="preserve">immédiatement des données manquantes. La vérification est la dernière barrière avant le point de </w:t>
      </w:r>
      <w:r/>
      <w:r>
        <w:t xml:space="preserve">non-retour.</w:t>
      </w:r>
      <w:r/>
      <w:r/>
      <w:r/>
    </w:p>
    <w:p w14:paraId="334FC183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14:ligatures w14:val="none"/>
        </w:rPr>
      </w:pPr>
      <w:r>
        <w:rPr>
          <w:b/>
          <w:bCs/>
        </w:rPr>
      </w:r>
      <w:r>
        <w:rPr>
          <w:b/>
          <w:bCs/>
        </w:rPr>
        <w:t xml:space="preserve">Dans quel cas la migration progressive ne suffit-elle pas ?</w:t>
      </w:r>
      <w:r>
        <w:rPr>
          <w:b/>
          <w:bCs/>
        </w:rPr>
      </w:r>
      <w:r>
        <w:rPr>
          <w:b/>
          <w:bCs/>
        </w:rPr>
      </w:r>
    </w:p>
    <w:p w14:paraId="121AF856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14:ligatures w14:val="none"/>
        </w:rPr>
      </w:pPr>
      <w:r>
        <w:t xml:space="preserve">Quand la coupure doit être quasi nulle (&lt;5 secondes), ou quand la base est en écriture intensive </w:t>
      </w:r>
      <w:r/>
      <w:r>
        <w:t xml:space="preserve">permanente (e-commerce, IoT). Dans ces cas, même la sync finale prend trop de temps ou accumule trop </w:t>
      </w:r>
      <w:r/>
      <w:r/>
      <w:r>
        <w:t xml:space="preserve">de delta.</w:t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4D3861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14:ligatures w14:val="none"/>
        </w:rPr>
      </w:pPr>
      <w:r/>
      <w:r/>
      <w:r/>
    </w:p>
    <w:p w14:paraId="05975B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14:ligatures w14:val="none"/>
        </w:rPr>
      </w:pPr>
      <w:r/>
      <w:r/>
      <w:r/>
    </w:p>
    <w:p w14:paraId="1879D1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C27908B">
      <w:pPr>
        <w:pStyle w:val="140"/>
        <w:pBdr/>
        <w:spacing/>
        <w:ind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2.3 Approche par "Réplication Logique" (Niveau 3)</w:t>
      </w:r>
      <w:r/>
    </w:p>
    <w:p w14:paraId="3B316C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La réplication logique PostgreSQL maintient la cible synchronisée en temps réel avec la source. La bascule se </w:t>
      </w:r>
      <w:r/>
      <w:r>
        <w:t xml:space="preserve">fait à chaud, avec une coupure quasi nulle. C'est la méthode la plus avancée et la plus sûre.</w:t>
      </w:r>
      <w:r/>
      <w:r>
        <w:rPr>
          <w:rFonts w:ascii="Arial" w:hAnsi="Arial" w:eastAsia="Arial" w:cs="Arial"/>
          <w:color w:val="1f1f1f"/>
          <w:sz w:val="24"/>
        </w:rPr>
      </w:r>
      <w:r/>
      <w:r/>
      <w:r/>
    </w:p>
    <w:p w14:paraId="0E65344F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Chronologie des mesures</w:t>
      </w:r>
      <w:r/>
    </w:p>
    <w:p w14:paraId="4999B4C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Contrôle prérequis :</w:t>
      </w:r>
      <w:r>
        <w:rPr>
          <w:rFonts w:ascii="Arial" w:hAnsi="Arial" w:eastAsia="Arial" w:cs="Arial"/>
          <w:color w:val="1f1f1f"/>
          <w:sz w:val="24"/>
        </w:rPr>
        <w:t xml:space="preserve"> </w:t>
      </w:r>
      <w:r>
        <w:rPr>
          <w:rFonts w:ascii="Arial" w:hAnsi="Arial" w:eastAsia="Arial" w:cs="Arial"/>
          <w:i/>
          <w:iCs/>
          <w:color w:val="444746"/>
          <w:sz w:val="24"/>
          <w:highlight w:val="none"/>
        </w:rPr>
        <w:t xml:space="preserve">wal_level = logical</w:t>
      </w:r>
      <w:r>
        <w:rPr>
          <w:rFonts w:ascii="Arial" w:hAnsi="Arial" w:eastAsia="Arial" w:cs="Arial"/>
          <w:color w:val="1f1f1f"/>
          <w:sz w:val="24"/>
        </w:rPr>
        <w:t xml:space="preserve"> (PostgreSQL 15 ARM64) – Validé</w:t>
      </w:r>
      <w:r/>
    </w:p>
    <w:p w14:paraId="6749E94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Publication :</w:t>
      </w:r>
      <w:r>
        <w:rPr>
          <w:rFonts w:ascii="Arial" w:hAnsi="Arial" w:eastAsia="Arial" w:cs="Arial"/>
          <w:color w:val="1f1f1f"/>
          <w:sz w:val="24"/>
        </w:rPr>
        <w:t xml:space="preserve"> Création de </w:t>
      </w:r>
      <w:r>
        <w:rPr>
          <w:rFonts w:ascii="Arial" w:hAnsi="Arial" w:eastAsia="Arial" w:cs="Arial"/>
          <w:i/>
          <w:iCs/>
          <w:color w:val="444746"/>
          <w:sz w:val="24"/>
          <w:highlight w:val="none"/>
        </w:rPr>
        <w:t xml:space="preserve">pub_techcorp</w:t>
      </w:r>
      <w:r>
        <w:rPr>
          <w:rFonts w:ascii="Arial" w:hAnsi="Arial" w:eastAsia="Arial" w:cs="Arial"/>
          <w:color w:val="1f1f1f"/>
          <w:sz w:val="24"/>
        </w:rPr>
        <w:t xml:space="preserve"> (4 tables managées)</w:t>
      </w:r>
      <w:r/>
    </w:p>
    <w:p w14:paraId="7DEB3EA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Préparation cible :</w:t>
      </w:r>
      <w:r>
        <w:rPr>
          <w:rFonts w:ascii="Arial" w:hAnsi="Arial" w:eastAsia="Arial" w:cs="Arial"/>
          <w:color w:val="1f1f1f"/>
          <w:sz w:val="24"/>
        </w:rPr>
        <w:t xml:space="preserve"> Déploiement manuel de la structure de la base (4 tables vides)</w:t>
      </w:r>
      <w:r/>
    </w:p>
    <w:p w14:paraId="3F77E94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Souscription :</w:t>
      </w:r>
      <w:r>
        <w:rPr>
          <w:rFonts w:ascii="Arial" w:hAnsi="Arial" w:eastAsia="Arial" w:cs="Arial"/>
          <w:color w:val="1f1f1f"/>
          <w:sz w:val="24"/>
        </w:rPr>
        <w:t xml:space="preserve"> Initialisation de la </w:t>
      </w:r>
      <w:r>
        <w:rPr>
          <w:rFonts w:ascii="Arial" w:hAnsi="Arial" w:eastAsia="Arial" w:cs="Arial"/>
          <w:i/>
          <w:iCs/>
          <w:color w:val="444746"/>
          <w:sz w:val="24"/>
          <w:highlight w:val="none"/>
        </w:rPr>
        <w:t xml:space="preserve">SUBSCRIPTION</w:t>
      </w:r>
      <w:r>
        <w:rPr>
          <w:rFonts w:ascii="Arial" w:hAnsi="Arial" w:eastAsia="Arial" w:cs="Arial"/>
          <w:color w:val="1f1f1f"/>
          <w:sz w:val="24"/>
        </w:rPr>
        <w:t xml:space="preserve">. Copie automatique de l'existant ($7$ utilisateurs, $4$ formations, $6$ progressions, $4$ résultats) via le slot de réplication WAL.</w:t>
      </w:r>
      <w:r/>
    </w:p>
    <w:p w14:paraId="43466F0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Test d'écriture temps réel :</w:t>
      </w:r>
      <w:r>
        <w:rPr>
          <w:rFonts w:ascii="Arial" w:hAnsi="Arial" w:eastAsia="Arial" w:cs="Arial"/>
          <w:color w:val="1f1f1f"/>
          <w:sz w:val="24"/>
        </w:rPr>
        <w:t xml:space="preserve"> Réplication des </w:t>
      </w:r>
      <w:r>
        <w:rPr>
          <w:rFonts w:ascii="Arial" w:hAnsi="Arial" w:eastAsia="Arial" w:cs="Arial"/>
          <w:i/>
          <w:iCs/>
          <w:color w:val="444746"/>
          <w:sz w:val="24"/>
          <w:highlight w:val="none"/>
        </w:rPr>
        <w:t xml:space="preserve">INSERT</w:t>
      </w:r>
      <w:r>
        <w:rPr>
          <w:rFonts w:ascii="Arial" w:hAnsi="Arial" w:eastAsia="Arial" w:cs="Arial"/>
          <w:color w:val="1f1f1f"/>
          <w:sz w:val="24"/>
        </w:rPr>
        <w:t xml:space="preserve"> en &lt; 2s, des </w:t>
      </w:r>
      <w:r>
        <w:rPr>
          <w:rFonts w:ascii="Arial" w:hAnsi="Arial" w:eastAsia="Arial" w:cs="Arial"/>
          <w:i/>
          <w:iCs/>
          <w:color w:val="444746"/>
          <w:sz w:val="24"/>
          <w:highlight w:val="none"/>
        </w:rPr>
        <w:t xml:space="preserve">UPDATE</w:t>
      </w:r>
      <w:r>
        <w:rPr>
          <w:rFonts w:ascii="Arial" w:hAnsi="Arial" w:eastAsia="Arial" w:cs="Arial"/>
          <w:color w:val="1f1f1f"/>
          <w:sz w:val="24"/>
        </w:rPr>
        <w:t xml:space="preserve"> en &lt; 1s. Les suppressions (</w:t>
      </w:r>
      <w:r>
        <w:rPr>
          <w:rFonts w:ascii="Arial" w:hAnsi="Arial" w:eastAsia="Arial" w:cs="Arial"/>
          <w:i/>
          <w:iCs/>
          <w:color w:val="444746"/>
          <w:sz w:val="24"/>
          <w:highlight w:val="none"/>
        </w:rPr>
        <w:t xml:space="preserve">DELETE</w:t>
      </w:r>
      <w:r>
        <w:rPr>
          <w:rFonts w:ascii="Arial" w:hAnsi="Arial" w:eastAsia="Arial" w:cs="Arial"/>
          <w:color w:val="1f1f1f"/>
          <w:sz w:val="24"/>
        </w:rPr>
        <w:t xml:space="preserve">) se répercutent à l'identique.</w:t>
      </w:r>
      <w:r/>
    </w:p>
    <w:p w14:paraId="1CF90FC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Indicateurs de latence (Lag) :</w:t>
      </w:r>
      <w:r>
        <w:rPr>
          <w:rFonts w:ascii="Arial" w:hAnsi="Arial" w:eastAsia="Arial" w:cs="Arial"/>
          <w:color w:val="1f1f1f"/>
          <w:sz w:val="24"/>
        </w:rPr>
        <w:t xml:space="preserve"> </w:t>
      </w:r>
      <w:r>
        <w:rPr>
          <w:rFonts w:ascii="Arial" w:hAnsi="Arial" w:eastAsia="Arial" w:cs="Arial"/>
          <w:i/>
          <w:iCs/>
          <w:color w:val="444746"/>
          <w:sz w:val="24"/>
          <w:highlight w:val="none"/>
        </w:rPr>
        <w:t xml:space="preserve">write_lag = 0.000118s</w:t>
      </w:r>
      <w:r>
        <w:rPr>
          <w:rFonts w:ascii="Arial" w:hAnsi="Arial" w:eastAsia="Arial" w:cs="Arial"/>
          <w:i/>
          <w:iCs/>
          <w:color w:val="1f1f1f"/>
          <w:sz w:val="24"/>
          <w:highlight w:val="none"/>
        </w:rPr>
        <w:t xml:space="preserve"> </w:t>
      </w:r>
      <w:r>
        <w:rPr>
          <w:rFonts w:ascii="Arial" w:hAnsi="Arial" w:eastAsia="Arial" w:cs="Arial"/>
          <w:color w:val="1f1f1f"/>
          <w:sz w:val="24"/>
        </w:rPr>
        <w:t xml:space="preserve">| </w:t>
      </w:r>
      <w:r>
        <w:rPr>
          <w:rFonts w:ascii="Arial" w:hAnsi="Arial" w:eastAsia="Arial" w:cs="Arial"/>
          <w:i/>
          <w:iCs/>
          <w:color w:val="444746"/>
          <w:sz w:val="24"/>
          <w:highlight w:val="none"/>
        </w:rPr>
        <w:t xml:space="preserve">flush_lag = 0.200979s</w:t>
      </w:r>
      <w:r/>
    </w:p>
    <w:p w14:paraId="7E6CC64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Bascule applicative :</w:t>
      </w:r>
      <w:r>
        <w:rPr>
          <w:rFonts w:ascii="Arial" w:hAnsi="Arial" w:eastAsia="Arial" w:cs="Arial"/>
          <w:color w:val="1f1f1f"/>
          <w:sz w:val="24"/>
        </w:rPr>
        <w:t xml:space="preserve"> Début à 12:19:04, fin à 12:19:07</w:t>
      </w:r>
      <w:r/>
    </w:p>
    <w:p w14:paraId="6B6F2B1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Temps d'indisponibilité réel :</w:t>
      </w:r>
      <w:r>
        <w:rPr>
          <w:rFonts w:ascii="Arial" w:hAnsi="Arial" w:eastAsia="Arial" w:cs="Arial"/>
          <w:color w:val="1f1f1f"/>
          <w:sz w:val="24"/>
        </w:rPr>
        <w:t xml:space="preserve"> 3 secondes</w:t>
      </w:r>
      <w:r/>
    </w:p>
    <w:p w14:paraId="741FA2C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Post-migration :</w:t>
      </w:r>
      <w:r>
        <w:rPr>
          <w:rFonts w:ascii="Arial" w:hAnsi="Arial" w:eastAsia="Arial" w:cs="Arial"/>
          <w:color w:val="1f1f1f"/>
          <w:sz w:val="24"/>
        </w:rPr>
        <w:t xml:space="preserve"> Suppression de la publication pour libérer les ressources.</w:t>
      </w:r>
      <w:r/>
    </w:p>
    <w:p w14:paraId="3B2D9851">
      <w:pPr>
        <w:pStyle w:val="141"/>
        <w:pBdr/>
        <w:spacing/>
        <w:ind/>
        <w:rPr>
          <w14:ligatures w14:val="none"/>
        </w:rPr>
      </w:pPr>
      <w:r>
        <w:t xml:space="preserve">Questions d'analyse – Niveau 3</w:t>
      </w:r>
      <w:r/>
    </w:p>
    <w:p w14:paraId="27993D9E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14:ligatures w14:val="none"/>
        </w:rPr>
      </w:pPr>
      <w:r>
        <w:rPr>
          <w:b/>
          <w:bCs/>
        </w:rPr>
        <w:t xml:space="preserve">Quelle est la durée de coupure avec la réplication logique ? Comparez N1/N2/N3.</w:t>
      </w:r>
      <w:r>
        <w:rPr>
          <w:b/>
          <w:bCs/>
        </w:rPr>
      </w:r>
    </w:p>
    <w:p w14:paraId="6CEA2EE0"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14:ligatures w14:val="none"/>
        </w:rPr>
      </w:pPr>
      <w:r>
        <w:t xml:space="preserve">N1 : ~30s | N2 : ~13s | N3 : 3 secondes. La réplication logique réduit la coupure de 90% par rapport au </w:t>
      </w:r>
      <w:r/>
      <w:r>
        <w:t xml:space="preserve">Big Bang, car seules les dernières écritures non encore répliquées doivent être attendues.</w:t>
      </w:r>
      <w:r/>
      <w:r/>
    </w:p>
    <w:p w14:paraId="5CC53195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14:ligatures w14:val="none"/>
        </w:rPr>
      </w:pPr>
      <w:r>
        <w:rPr>
          <w:b/>
          <w:bCs/>
        </w:rPr>
        <w:t xml:space="preserve">Quelles sont les limites de la réplication logique PostgreSQL ?</w:t>
      </w:r>
      <w:r>
        <w:rPr>
          <w:b/>
          <w:bCs/>
        </w:rPr>
      </w:r>
    </w:p>
    <w:p w14:paraId="3F4A738D"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14:ligatures w14:val="none"/>
        </w:rPr>
      </w:pPr>
      <w:r/>
      <w:r>
        <w:t xml:space="preserve">Ne réplique pas le DDL (ALTER TABLE, CREATE INDEX, DROP TABLE). Ne réplique pas les </w:t>
      </w:r>
      <w:r/>
      <w:r/>
      <w:r>
        <w:t xml:space="preserve">séquences (les compteurs d'ID peuvent diverger). Ne réplique pas les large objects. Requiert </w:t>
      </w:r>
      <w:r/>
      <w:r/>
      <w:r>
        <w:t xml:space="preserve">wal_level=logical (overhead en I/O). Les tables sans PRIMARY KEY ne sont pas réplicables par défaut.</w:t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45BB4C52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14:ligatures w14:val="none"/>
        </w:rPr>
      </w:pPr>
      <w:r>
        <w:rPr>
          <w:b/>
          <w:bCs/>
        </w:rPr>
        <w:t xml:space="preserve">Pourquoi doit-on créer le schéma manuellement avant la subscription ?</w:t>
      </w:r>
      <w:r>
        <w:rPr>
          <w:b/>
          <w:bCs/>
        </w:rPr>
      </w:r>
    </w:p>
    <w:p w14:paraId="4A9A24DD"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14:ligatures w14:val="none"/>
        </w:rPr>
      </w:pPr>
      <w:r>
        <w:t xml:space="preserve">La réplication logique ne transfère que les opérations DML (INSERT, UPDATE, DELETE). Elle ne crée </w:t>
      </w:r>
      <w:r/>
      <w:r>
        <w:t xml:space="preserve">pas les tables. Si les tables n'existent pas sur la cible, la subscription échoue immédiatement avec une </w:t>
      </w:r>
      <w:r/>
      <w:r/>
      <w:r>
        <w:t xml:space="preserve">erreur de relation inexistante.</w:t>
      </w:r>
      <w:r/>
      <w:r/>
    </w:p>
    <w:p w14:paraId="6AC21BFD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14:ligatures w14:val="none"/>
        </w:rPr>
      </w:pPr>
      <w:r>
        <w:rPr>
          <w:b/>
          <w:bCs/>
        </w:rPr>
        <w:t xml:space="preserve">Que se passe-t-il si on insère une ligne sur la CIBLE pendant la réplication ?</w:t>
      </w:r>
      <w:r>
        <w:rPr>
          <w:b/>
          <w:bCs/>
        </w:rPr>
      </w:r>
    </w:p>
    <w:p w14:paraId="36C1ABA1"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14:ligatures w14:val="none"/>
        </w:rPr>
      </w:pPr>
      <w:r>
        <w:t xml:space="preserve">Risque de conflit de clé primaire si la même valeur d'ID arrive de la source. PostgreSQL arrête la </w:t>
      </w:r>
      <w:r/>
      <w:r>
        <w:t xml:space="preserve">réplication et lève une erreur de contrainte unique. La subscription se met en erreur et doit être réparée</w:t>
      </w:r>
      <w:r/>
      <w:r/>
      <w:r>
        <w:t xml:space="preserve">manuellement.</w:t>
      </w:r>
      <w:r/>
      <w:r/>
    </w:p>
    <w:p w14:paraId="4D1A3251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14:ligatures w14:val="none"/>
        </w:rPr>
      </w:pPr>
      <w:r>
        <w:rPr>
          <w:b/>
          <w:bCs/>
        </w:rPr>
        <w:t xml:space="preserve">Dans quel cas préférerait-on la réplication logique à la migration progressive ?</w:t>
      </w:r>
      <w:r>
        <w:rPr>
          <w:b/>
          <w:bCs/>
        </w:rPr>
      </w:r>
      <w:r>
        <w:rPr>
          <w:b/>
          <w:bCs/>
        </w:rPr>
      </w:r>
    </w:p>
    <w:p w14:paraId="4A624DB7"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14:ligatures w14:val="none"/>
        </w:rPr>
      </w:pPr>
      <w:r>
        <w:t xml:space="preserve">Quand la coupure autorisée est inférieure à 10 secondes, quand la base est en écriture continue 24h/24, </w:t>
      </w:r>
      <w:r>
        <w:t xml:space="preserve">ou quand on souhaite faire un basculement progressif avec possibilité de rollback instantané avant de </w:t>
      </w:r>
      <w:r/>
      <w:r/>
      <w:r>
        <w:t xml:space="preserve">couper la source.</w:t>
      </w:r>
      <w:r/>
      <w:r/>
    </w:p>
    <w:p w14:paraId="26877BEE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14:ligatures w14:val="none"/>
        </w:rPr>
      </w:pPr>
      <w:r>
        <w:rPr>
          <w:b/>
          <w:bCs/>
        </w:rPr>
        <w:t xml:space="preserve">Quels outils professionnels permettent une réplication encore plus avancée ?</w:t>
      </w:r>
      <w:r>
        <w:rPr>
          <w:b/>
          <w:bCs/>
        </w:rPr>
      </w:r>
    </w:p>
    <w:p w14:paraId="6C710A0C">
      <w:pPr>
        <w:pStyle w:val="668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14:ligatures w14:val="none"/>
        </w:rPr>
      </w:pPr>
      <w:r>
        <w:t xml:space="preserve">pglogical (réplication logique avancée avec filtrage), Debezium (CDC – Change Data Capture vers </w:t>
      </w:r>
      <w:r/>
      <w:r>
        <w:t xml:space="preserve">Kafka), AWS DMS (Database Migration Service), Patroni (HA PostgreSQL avec failover automatique), </w:t>
      </w:r>
      <w:r/>
      <w:r/>
      <w:r>
        <w:t xml:space="preserve">Bucardo (réplication multi-master).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 w14:paraId="1795E9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31D6827">
      <w:pPr>
        <w:pStyle w:val="139"/>
        <w:pBdr/>
        <w:spacing/>
        <w:ind/>
        <w:rPr>
          <w:rFonts w:ascii="Arial" w:hAnsi="Arial" w:eastAsia="Arial" w:cs="Arial"/>
          <w:b/>
          <w:bCs/>
          <w:color w:val="1f1f1f"/>
          <w:sz w:val="36"/>
          <w:szCs w:val="36"/>
          <w:highlight w:val="none"/>
        </w:rPr>
      </w:pPr>
      <w:r>
        <w:rPr>
          <w:rFonts w:ascii="Arial" w:hAnsi="Arial" w:eastAsia="Arial" w:cs="Arial"/>
          <w:b/>
          <w:color w:val="1f1f1f"/>
          <w:sz w:val="36"/>
        </w:rPr>
        <w:t xml:space="preserve">3. Synthèse comparative des méthodes</w:t>
      </w:r>
      <w:r/>
    </w:p>
    <w:p w14:paraId="253AB7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Le tableau ci-dessous résume les indicateurs clés relevés lors des simulations 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870"/>
        <w:gridCol w:w="1671"/>
        <w:gridCol w:w="1907"/>
        <w:gridCol w:w="2906"/>
      </w:tblGrid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870" w:type="dxa"/>
            <w:vAlign w:val="center"/>
          </w:tcPr>
          <w:p w14:paraId="3939A42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Critère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671" w:type="dxa"/>
            <w:vAlign w:val="center"/>
          </w:tcPr>
          <w:p w14:paraId="3D7778A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Big Bang (Niveau 1)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907" w:type="dxa"/>
            <w:vAlign w:val="center"/>
          </w:tcPr>
          <w:p w14:paraId="1F184F37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Progressive (Niveau 2)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906" w:type="dxa"/>
            <w:vAlign w:val="center"/>
          </w:tcPr>
          <w:p w14:paraId="0680206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Réplication Logique (Niveau 3)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870" w:type="dxa"/>
            <w:vAlign w:val="center"/>
          </w:tcPr>
          <w:p w14:paraId="1B665B73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Durée de coupure mesurée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671" w:type="dxa"/>
            <w:vAlign w:val="center"/>
          </w:tcPr>
          <w:p w14:paraId="3942396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~30 secondes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907" w:type="dxa"/>
            <w:vAlign w:val="center"/>
          </w:tcPr>
          <w:p w14:paraId="425A7DB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~13 secondes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906" w:type="dxa"/>
            <w:vAlign w:val="center"/>
          </w:tcPr>
          <w:p w14:paraId="2BC2066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3 secondes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870" w:type="dxa"/>
            <w:vAlign w:val="center"/>
          </w:tcPr>
          <w:p w14:paraId="7B65763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Complexité de mise en œuvre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671" w:type="dxa"/>
            <w:vAlign w:val="center"/>
          </w:tcPr>
          <w:p w14:paraId="7C03CC6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Faible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907" w:type="dxa"/>
            <w:vAlign w:val="center"/>
          </w:tcPr>
          <w:p w14:paraId="3E26B132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Moyenne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906" w:type="dxa"/>
            <w:vAlign w:val="center"/>
          </w:tcPr>
          <w:p w14:paraId="2371D750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Élevée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870" w:type="dxa"/>
            <w:vAlign w:val="center"/>
          </w:tcPr>
          <w:p w14:paraId="12E8AF7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Risque de perte de données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671" w:type="dxa"/>
            <w:vAlign w:val="center"/>
          </w:tcPr>
          <w:p w14:paraId="2841214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Élevé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907" w:type="dxa"/>
            <w:vAlign w:val="center"/>
          </w:tcPr>
          <w:p w14:paraId="7F44CF48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Moyen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906" w:type="dxa"/>
            <w:vAlign w:val="center"/>
          </w:tcPr>
          <w:p w14:paraId="500B5801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Faible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870" w:type="dxa"/>
            <w:vAlign w:val="center"/>
          </w:tcPr>
          <w:p w14:paraId="543B30B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Option de Rollback opérationnelle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671" w:type="dxa"/>
            <w:vAlign w:val="center"/>
          </w:tcPr>
          <w:p w14:paraId="3B2F74A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Oui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907" w:type="dxa"/>
            <w:vAlign w:val="center"/>
          </w:tcPr>
          <w:p w14:paraId="39739ED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Oui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906" w:type="dxa"/>
            <w:vAlign w:val="center"/>
          </w:tcPr>
          <w:p w14:paraId="7EB187A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Oui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870" w:type="dxa"/>
            <w:vAlign w:val="center"/>
          </w:tcPr>
          <w:p w14:paraId="1CBCD45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Conforme à la contrainte (2h)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671" w:type="dxa"/>
            <w:vAlign w:val="center"/>
          </w:tcPr>
          <w:p w14:paraId="1EEA33A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Oui (sur jeu de test)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907" w:type="dxa"/>
            <w:vAlign w:val="center"/>
          </w:tcPr>
          <w:p w14:paraId="2A1FFEF6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Oui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906" w:type="dxa"/>
            <w:vAlign w:val="center"/>
          </w:tcPr>
          <w:p w14:paraId="1B61EB8D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Oui (très largement)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870" w:type="dxa"/>
            <w:vAlign w:val="center"/>
          </w:tcPr>
          <w:p w14:paraId="7E014EAC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Outils de l'infrastructure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671" w:type="dxa"/>
            <w:vAlign w:val="center"/>
          </w:tcPr>
          <w:p w14:paraId="6C135DBB">
            <w:pPr>
              <w:pBdr/>
              <w:spacing w:after="0" w:before="0" w:line="240"/>
              <w:ind/>
              <w:jc w:val="center"/>
              <w:rPr>
                <w:bCs/>
                <w:i/>
                <w:highlight w:val="none"/>
              </w:rPr>
            </w:pPr>
            <w:r>
              <w:rPr>
                <w:rFonts w:ascii="Arial" w:hAnsi="Arial" w:eastAsia="Arial" w:cs="Arial"/>
                <w:i/>
                <w:iCs/>
                <w:color w:val="444746"/>
                <w:sz w:val="24"/>
                <w:highlight w:val="none"/>
              </w:rPr>
              <w:t xml:space="preserve">pg_dump</w:t>
            </w:r>
            <w:r>
              <w:rPr>
                <w:rFonts w:ascii="Arial" w:hAnsi="Arial" w:eastAsia="Arial" w:cs="Arial"/>
                <w:i/>
                <w:iCs/>
                <w:color w:val="1f1f1f"/>
                <w:sz w:val="24"/>
                <w:highlight w:val="none"/>
              </w:rPr>
              <w:t xml:space="preserve"> / </w:t>
            </w:r>
            <w:r>
              <w:rPr>
                <w:rFonts w:ascii="Arial" w:hAnsi="Arial" w:eastAsia="Arial" w:cs="Arial"/>
                <w:i/>
                <w:iCs/>
                <w:color w:val="444746"/>
                <w:sz w:val="24"/>
                <w:highlight w:val="none"/>
              </w:rPr>
              <w:t xml:space="preserve">rsync</w:t>
            </w:r>
            <w:r>
              <w:rPr>
                <w:i/>
                <w:iCs/>
                <w:highlight w:val="none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907" w:type="dxa"/>
            <w:vAlign w:val="center"/>
          </w:tcPr>
          <w:p w14:paraId="4C88E797">
            <w:pPr>
              <w:pBdr/>
              <w:spacing w:after="0" w:before="0" w:line="240"/>
              <w:ind/>
              <w:jc w:val="center"/>
              <w:rPr>
                <w:bCs/>
                <w:i/>
                <w:highlight w:val="none"/>
              </w:rPr>
            </w:pPr>
            <w:r>
              <w:rPr>
                <w:rFonts w:ascii="Arial" w:hAnsi="Arial" w:eastAsia="Arial" w:cs="Arial"/>
                <w:i/>
                <w:iCs/>
                <w:color w:val="444746"/>
                <w:sz w:val="24"/>
                <w:highlight w:val="none"/>
              </w:rPr>
              <w:t xml:space="preserve">pg_dump</w:t>
            </w:r>
            <w:r>
              <w:rPr>
                <w:rFonts w:ascii="Arial" w:hAnsi="Arial" w:eastAsia="Arial" w:cs="Arial"/>
                <w:i/>
                <w:iCs/>
                <w:color w:val="1f1f1f"/>
                <w:sz w:val="24"/>
                <w:highlight w:val="none"/>
              </w:rPr>
              <w:t xml:space="preserve"> + </w:t>
            </w:r>
            <w:r>
              <w:rPr>
                <w:rFonts w:ascii="Arial" w:hAnsi="Arial" w:eastAsia="Arial" w:cs="Arial"/>
                <w:i/>
                <w:iCs/>
                <w:color w:val="444746"/>
                <w:sz w:val="24"/>
                <w:highlight w:val="none"/>
              </w:rPr>
              <w:t xml:space="preserve">rsync</w:t>
            </w:r>
            <w:r>
              <w:rPr>
                <w:i/>
                <w:iCs/>
                <w:highlight w:val="none"/>
              </w:rPr>
            </w:r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906" w:type="dxa"/>
            <w:vAlign w:val="center"/>
          </w:tcPr>
          <w:p w14:paraId="64BE5CCF">
            <w:pPr>
              <w:pBdr/>
              <w:spacing w:after="0" w:before="0" w:line="240"/>
              <w:ind/>
              <w:jc w:val="center"/>
              <w:rPr>
                <w:bCs/>
                <w:i/>
                <w:highlight w:val="none"/>
              </w:rPr>
            </w:pPr>
            <w:r>
              <w:rPr>
                <w:rFonts w:ascii="Arial" w:hAnsi="Arial" w:eastAsia="Arial" w:cs="Arial"/>
                <w:i/>
                <w:iCs/>
                <w:color w:val="444746"/>
                <w:sz w:val="24"/>
                <w:highlight w:val="none"/>
              </w:rPr>
              <w:t xml:space="preserve">PUBLICATION</w:t>
            </w:r>
            <w:r>
              <w:rPr>
                <w:rFonts w:ascii="Arial" w:hAnsi="Arial" w:eastAsia="Arial" w:cs="Arial"/>
                <w:i/>
                <w:iCs/>
                <w:color w:val="1f1f1f"/>
                <w:sz w:val="24"/>
                <w:highlight w:val="none"/>
              </w:rPr>
              <w:t xml:space="preserve"> / </w:t>
            </w:r>
            <w:r>
              <w:rPr>
                <w:rFonts w:ascii="Arial" w:hAnsi="Arial" w:eastAsia="Arial" w:cs="Arial"/>
                <w:i/>
                <w:iCs/>
                <w:color w:val="444746"/>
                <w:sz w:val="24"/>
                <w:highlight w:val="none"/>
              </w:rPr>
              <w:t xml:space="preserve">SUBSCRIPTION</w:t>
            </w:r>
            <w:r>
              <w:rPr>
                <w:i/>
                <w:iCs/>
                <w:highlight w:val="none"/>
              </w:rPr>
            </w:r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870" w:type="dxa"/>
            <w:vAlign w:val="center"/>
          </w:tcPr>
          <w:p w14:paraId="048CFAD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Avis pour le projet de production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671" w:type="dxa"/>
            <w:vAlign w:val="center"/>
          </w:tcPr>
          <w:p w14:paraId="20269F5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Non recommandé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907" w:type="dxa"/>
            <w:vAlign w:val="center"/>
          </w:tcPr>
          <w:p w14:paraId="6198F60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color w:val="1f1f1f"/>
                <w:sz w:val="24"/>
              </w:rPr>
              <w:t xml:space="preserve">Acceptable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2906" w:type="dxa"/>
            <w:vAlign w:val="center"/>
          </w:tcPr>
          <w:p w14:paraId="0DE804D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1f1f1f"/>
                <w:sz w:val="24"/>
              </w:rPr>
              <w:t xml:space="preserve">Recommandé</w:t>
            </w:r>
            <w:r/>
          </w:p>
        </w:tc>
      </w:tr>
    </w:tbl>
    <w:p w14:paraId="18194F45">
      <w:pPr>
        <w:pBdr/>
        <w:spacing/>
        <w:ind/>
        <w:rPr>
          <w:rFonts w:ascii="Arial" w:hAnsi="Arial" w:eastAsia="Arial" w:cs="Arial"/>
          <w:sz w:val="36"/>
          <w:szCs w:val="36"/>
        </w:rPr>
      </w:pPr>
      <w:r>
        <w:rPr>
          <w:rFonts w:ascii="Arial" w:hAnsi="Arial" w:eastAsia="Arial" w:cs="Arial"/>
          <w:sz w:val="36"/>
          <w:szCs w:val="36"/>
        </w:rPr>
      </w:r>
      <w:r>
        <w:rPr>
          <w:rFonts w:ascii="Arial" w:hAnsi="Arial" w:eastAsia="Arial" w:cs="Arial"/>
          <w:sz w:val="36"/>
          <w:szCs w:val="36"/>
        </w:rPr>
      </w:r>
      <w:r>
        <w:rPr>
          <w:rFonts w:ascii="Arial" w:hAnsi="Arial" w:eastAsia="Arial" w:cs="Arial"/>
          <w:sz w:val="36"/>
          <w:szCs w:val="36"/>
        </w:rPr>
      </w:r>
    </w:p>
    <w:p w14:paraId="77B76F69">
      <w:pPr>
        <w:pBdr/>
        <w:spacing/>
        <w:ind/>
        <w:rPr>
          <w:rFonts w:ascii="Arial" w:hAnsi="Arial" w:eastAsia="Arial" w:cs="Arial"/>
          <w:sz w:val="36"/>
          <w:szCs w:val="36"/>
        </w:rPr>
      </w:pPr>
      <w:r>
        <w:rPr>
          <w:rFonts w:ascii="Arial" w:hAnsi="Arial" w:eastAsia="Arial" w:cs="Arial"/>
          <w:sz w:val="36"/>
          <w:szCs w:val="36"/>
        </w:rPr>
      </w:r>
      <w:r>
        <w:rPr>
          <w:rFonts w:ascii="Arial" w:hAnsi="Arial" w:eastAsia="Arial" w:cs="Arial"/>
          <w:sz w:val="36"/>
          <w:szCs w:val="36"/>
        </w:rPr>
      </w:r>
      <w:r>
        <w:rPr>
          <w:rFonts w:ascii="Arial" w:hAnsi="Arial" w:eastAsia="Arial" w:cs="Arial"/>
          <w:sz w:val="36"/>
          <w:szCs w:val="36"/>
        </w:rPr>
      </w:r>
    </w:p>
    <w:p w14:paraId="6F38317A">
      <w:pPr>
        <w:pBdr/>
        <w:spacing/>
        <w:ind/>
        <w:rPr>
          <w:rFonts w:ascii="Arial" w:hAnsi="Arial" w:eastAsia="Arial" w:cs="Arial"/>
          <w:b/>
          <w:bCs/>
          <w:color w:val="1f1f1f"/>
          <w:sz w:val="36"/>
          <w:szCs w:val="36"/>
          <w:highlight w:val="none"/>
        </w:rPr>
      </w:pPr>
      <w:r>
        <w:rPr>
          <w:rFonts w:ascii="Arial" w:hAnsi="Arial" w:eastAsia="Arial" w:cs="Arial"/>
          <w:b/>
          <w:bCs/>
          <w:color w:val="1f1f1f"/>
          <w:sz w:val="36"/>
          <w:szCs w:val="36"/>
          <w:highlight w:val="none"/>
        </w:rPr>
      </w:r>
      <w:r>
        <w:rPr>
          <w:rFonts w:ascii="Arial" w:hAnsi="Arial" w:eastAsia="Arial" w:cs="Arial"/>
          <w:b/>
          <w:bCs/>
          <w:color w:val="1f1f1f"/>
          <w:sz w:val="36"/>
          <w:szCs w:val="36"/>
          <w:highlight w:val="none"/>
        </w:rPr>
      </w:r>
      <w:r>
        <w:rPr>
          <w:rFonts w:ascii="Arial" w:hAnsi="Arial" w:eastAsia="Arial" w:cs="Arial"/>
          <w:b/>
          <w:bCs/>
          <w:color w:val="1f1f1f"/>
          <w:sz w:val="36"/>
          <w:szCs w:val="36"/>
          <w:highlight w:val="none"/>
        </w:rPr>
      </w:r>
    </w:p>
    <w:p w14:paraId="5E45670D">
      <w:pPr>
        <w:pBdr/>
        <w:spacing/>
        <w:ind/>
        <w:rPr>
          <w:rFonts w:ascii="Arial" w:hAnsi="Arial" w:eastAsia="Arial" w:cs="Arial"/>
          <w:b/>
          <w:bCs/>
          <w:color w:val="1f1f1f"/>
          <w:sz w:val="36"/>
          <w:szCs w:val="36"/>
          <w:highlight w:val="none"/>
        </w:rPr>
      </w:pPr>
      <w:r>
        <w:rPr>
          <w:rFonts w:ascii="Arial" w:hAnsi="Arial" w:eastAsia="Arial" w:cs="Arial"/>
          <w:b/>
          <w:bCs/>
          <w:color w:val="1f1f1f"/>
          <w:sz w:val="36"/>
          <w:szCs w:val="36"/>
          <w:highlight w:val="none"/>
        </w:rPr>
      </w:r>
      <w:r>
        <w:rPr>
          <w:rFonts w:ascii="Arial" w:hAnsi="Arial" w:eastAsia="Arial" w:cs="Arial"/>
          <w:b/>
          <w:bCs/>
          <w:color w:val="1f1f1f"/>
          <w:sz w:val="36"/>
          <w:szCs w:val="36"/>
          <w:highlight w:val="none"/>
        </w:rPr>
      </w:r>
      <w:r>
        <w:rPr>
          <w:rFonts w:ascii="Arial" w:hAnsi="Arial" w:eastAsia="Arial" w:cs="Arial"/>
          <w:b/>
          <w:bCs/>
          <w:color w:val="1f1f1f"/>
          <w:sz w:val="36"/>
          <w:szCs w:val="36"/>
          <w:highlight w:val="none"/>
        </w:rPr>
      </w:r>
    </w:p>
    <w:p w14:paraId="5F29E2DC">
      <w:pPr>
        <w:pBdr/>
        <w:spacing/>
        <w:ind/>
        <w:rPr>
          <w:rFonts w:ascii="Arial" w:hAnsi="Arial" w:eastAsia="Arial" w:cs="Arial"/>
          <w:b/>
          <w:bCs/>
          <w:color w:val="1f1f1f"/>
          <w:sz w:val="36"/>
          <w:szCs w:val="36"/>
          <w:highlight w:val="none"/>
        </w:rPr>
      </w:pPr>
      <w:r>
        <w:rPr>
          <w:rFonts w:ascii="Arial" w:hAnsi="Arial" w:eastAsia="Arial" w:cs="Arial"/>
          <w:b/>
          <w:bCs/>
          <w:color w:val="1f1f1f"/>
          <w:sz w:val="36"/>
          <w:szCs w:val="36"/>
          <w:highlight w:val="none"/>
        </w:rPr>
      </w:r>
      <w:r>
        <w:rPr>
          <w:rFonts w:ascii="Arial" w:hAnsi="Arial" w:eastAsia="Arial" w:cs="Arial"/>
          <w:b/>
          <w:bCs/>
          <w:color w:val="1f1f1f"/>
          <w:sz w:val="36"/>
          <w:szCs w:val="36"/>
          <w:highlight w:val="none"/>
        </w:rPr>
      </w:r>
      <w:r>
        <w:rPr>
          <w:rFonts w:ascii="Arial" w:hAnsi="Arial" w:eastAsia="Arial" w:cs="Arial"/>
          <w:b/>
          <w:bCs/>
          <w:color w:val="1f1f1f"/>
          <w:sz w:val="36"/>
          <w:szCs w:val="36"/>
          <w:highlight w:val="none"/>
        </w:rPr>
      </w:r>
    </w:p>
    <w:p w14:paraId="5D4D2662">
      <w:pPr>
        <w:pBdr/>
        <w:spacing/>
        <w:ind/>
        <w:rPr>
          <w:rFonts w:ascii="Arial" w:hAnsi="Arial" w:eastAsia="Arial" w:cs="Arial"/>
          <w:b/>
          <w:bCs/>
          <w:color w:val="1f1f1f"/>
          <w:sz w:val="36"/>
          <w:szCs w:val="36"/>
          <w:highlight w:val="none"/>
        </w:rPr>
      </w:pPr>
      <w:r>
        <w:rPr>
          <w:rFonts w:ascii="Arial" w:hAnsi="Arial" w:eastAsia="Arial" w:cs="Arial"/>
          <w:b/>
          <w:color w:val="1f1f1f"/>
          <w:sz w:val="36"/>
          <w:highlight w:val="none"/>
        </w:rPr>
      </w:r>
      <w:r>
        <w:rPr>
          <w:rFonts w:ascii="Arial" w:hAnsi="Arial" w:eastAsia="Arial" w:cs="Arial"/>
          <w:b/>
          <w:color w:val="1f1f1f"/>
          <w:sz w:val="36"/>
          <w:highlight w:val="none"/>
        </w:rPr>
      </w:r>
    </w:p>
    <w:p w14:paraId="766C9878">
      <w:pPr>
        <w:pBdr/>
        <w:spacing/>
        <w:ind/>
        <w:rPr>
          <w:rFonts w:ascii="Arial" w:hAnsi="Arial" w:eastAsia="Arial" w:cs="Arial"/>
          <w:b/>
          <w:bCs/>
          <w:color w:val="1f1f1f"/>
          <w:sz w:val="36"/>
          <w:szCs w:val="36"/>
          <w:highlight w:val="none"/>
        </w:rPr>
      </w:pPr>
      <w:r>
        <w:rPr>
          <w:rFonts w:ascii="Arial" w:hAnsi="Arial" w:eastAsia="Arial" w:cs="Arial"/>
          <w:b/>
          <w:color w:val="1f1f1f"/>
          <w:sz w:val="36"/>
          <w:highlight w:val="none"/>
        </w:rPr>
      </w:r>
      <w:r>
        <w:rPr>
          <w:rFonts w:ascii="Arial" w:hAnsi="Arial" w:eastAsia="Arial" w:cs="Arial"/>
          <w:b/>
          <w:color w:val="1f1f1f"/>
          <w:sz w:val="36"/>
          <w:highlight w:val="none"/>
        </w:rPr>
      </w:r>
      <w:r>
        <w:rPr>
          <w:rFonts w:ascii="Arial" w:hAnsi="Arial" w:eastAsia="Arial" w:cs="Arial"/>
          <w:b/>
          <w:color w:val="1f1f1f"/>
          <w:sz w:val="36"/>
          <w:highlight w:val="none"/>
        </w:rPr>
      </w:r>
    </w:p>
    <w:p w14:paraId="7A0A0CE8">
      <w:pPr>
        <w:pBdr/>
        <w:spacing/>
        <w:ind/>
        <w:rPr>
          <w:rFonts w:ascii="Arial" w:hAnsi="Arial" w:eastAsia="Arial" w:cs="Arial"/>
          <w:b/>
          <w:bCs/>
          <w:color w:val="1f1f1f"/>
          <w:sz w:val="36"/>
          <w:szCs w:val="36"/>
          <w:highlight w:val="none"/>
        </w:rPr>
      </w:pPr>
      <w:r>
        <w:rPr>
          <w:rFonts w:ascii="Arial" w:hAnsi="Arial" w:eastAsia="Arial" w:cs="Arial"/>
          <w:b/>
          <w:color w:val="1f1f1f"/>
          <w:sz w:val="36"/>
        </w:rPr>
        <w:t xml:space="preserve">4. Conclusion et préconisations pour TechCorp Formation</w:t>
      </w:r>
      <w:r/>
    </w:p>
    <w:p w14:paraId="2AFE40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À la suite des différents tests d'intégration, la méthode par </w:t>
      </w:r>
      <w:r>
        <w:rPr>
          <w:rFonts w:ascii="Arial" w:hAnsi="Arial" w:eastAsia="Arial" w:cs="Arial"/>
          <w:b/>
          <w:color w:val="1f1f1f"/>
          <w:sz w:val="24"/>
        </w:rPr>
        <w:t xml:space="preserve">Réplication Logique (Niveau 3)</w:t>
      </w:r>
      <w:r>
        <w:rPr>
          <w:rFonts w:ascii="Arial" w:hAnsi="Arial" w:eastAsia="Arial" w:cs="Arial"/>
          <w:color w:val="1f1f1f"/>
          <w:sz w:val="24"/>
        </w:rPr>
        <w:t xml:space="preserve"> est officiellement retenue pour la migration des infrastructures de Montpellier vers Toulouse.</w:t>
      </w:r>
      <w:r/>
    </w:p>
    <w:p w14:paraId="1364558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Justifications du choix</w:t>
      </w:r>
      <w:r/>
    </w:p>
    <w:p w14:paraId="70BF749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Garantie de continuité :</w:t>
      </w:r>
      <w:r>
        <w:rPr>
          <w:rFonts w:ascii="Arial" w:hAnsi="Arial" w:eastAsia="Arial" w:cs="Arial"/>
          <w:color w:val="1f1f1f"/>
          <w:sz w:val="24"/>
        </w:rPr>
        <w:t xml:space="preserve"> Une interruption de seulement 3 secondes constatée en test. En production réelle, le gain de temps face à un export de type Big Bang se chiffrera en heures de disponibilité préservées.</w:t>
      </w:r>
      <w:r/>
    </w:p>
    <w:p w14:paraId="2CE20EF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Sécurité des données de formation :</w:t>
      </w:r>
      <w:r>
        <w:rPr>
          <w:rFonts w:ascii="Arial" w:hAnsi="Arial" w:eastAsia="Arial" w:cs="Arial"/>
          <w:color w:val="1f1f1f"/>
          <w:sz w:val="24"/>
        </w:rPr>
        <w:t xml:space="preserve"> Les tables </w:t>
      </w:r>
      <w:r>
        <w:rPr>
          <w:rFonts w:ascii="Arial" w:hAnsi="Arial" w:eastAsia="Arial" w:cs="Arial"/>
          <w:i/>
          <w:iCs/>
          <w:color w:val="444746"/>
          <w:sz w:val="24"/>
          <w:highlight w:val="none"/>
        </w:rPr>
        <w:t xml:space="preserve">progressions</w:t>
      </w:r>
      <w:r>
        <w:rPr>
          <w:rFonts w:ascii="Arial" w:hAnsi="Arial" w:eastAsia="Arial" w:cs="Arial"/>
          <w:color w:val="1f1f1f"/>
          <w:sz w:val="24"/>
        </w:rPr>
        <w:t xml:space="preserve"> et </w:t>
      </w:r>
      <w:r>
        <w:rPr>
          <w:rFonts w:ascii="Arial" w:hAnsi="Arial" w:eastAsia="Arial" w:cs="Arial"/>
          <w:i/>
          <w:iCs/>
          <w:color w:val="444746"/>
          <w:sz w:val="24"/>
          <w:highlight w:val="none"/>
        </w:rPr>
        <w:t xml:space="preserve">resultats_examens</w:t>
      </w:r>
      <w:r>
        <w:rPr>
          <w:rFonts w:ascii="Arial" w:hAnsi="Arial" w:eastAsia="Arial" w:cs="Arial"/>
          <w:color w:val="1f1f1f"/>
          <w:sz w:val="24"/>
        </w:rPr>
        <w:t xml:space="preserve"> ont une importance stratégique et ne tolèrent aucune perte d’information. La réplication continue en tâche de fond sécurise l’intégralité des transactions des apprenants.</w:t>
      </w:r>
      <w:r/>
    </w:p>
    <w:p w14:paraId="37ADD77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Réversibilité sécurisée :</w:t>
      </w:r>
      <w:r>
        <w:rPr>
          <w:rFonts w:ascii="Arial" w:hAnsi="Arial" w:eastAsia="Arial" w:cs="Arial"/>
          <w:color w:val="1f1f1f"/>
          <w:sz w:val="24"/>
        </w:rPr>
        <w:t xml:space="preserve"> Tant que la souscription n'est pas finalisée et coupée, l'environnement source reste actif et modifiable, permettant un retour arrière instantané sans perte de données.</w:t>
      </w:r>
      <w:r>
        <w:rPr>
          <w:rFonts w:ascii="Arial" w:hAnsi="Arial" w:eastAsia="Arial" w:cs="Arial"/>
          <w:sz w:val="24"/>
        </w:rPr>
      </w:r>
    </w:p>
    <w:p w14:paraId="50A449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1f1f1f"/>
          <w:sz w:val="24"/>
          <w:highlight w:val="none"/>
        </w:rPr>
      </w:r>
      <w:r>
        <w:rPr>
          <w:rFonts w:ascii="Arial" w:hAnsi="Arial" w:eastAsia="Arial" w:cs="Arial"/>
          <w:color w:val="1f1f1f"/>
          <w:sz w:val="24"/>
          <w:highlight w:val="none"/>
        </w:rPr>
      </w:r>
      <w:r>
        <w:rPr>
          <w:rFonts w:ascii="Arial" w:hAnsi="Arial" w:eastAsia="Arial" w:cs="Arial"/>
          <w:color w:val="1f1f1f"/>
          <w:sz w:val="24"/>
          <w:highlight w:val="none"/>
        </w:rPr>
      </w:r>
    </w:p>
    <w:p w14:paraId="0EBBE22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Plan de vigilance pour la mise en production</w:t>
      </w:r>
      <w:r/>
    </w:p>
    <w:p w14:paraId="76C54A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Le déploiement de la réplication logique requiert une rigueur technique accrue. Les points suivants devront faire l'objet d'une surveillance particulière lors du basculement :</w:t>
      </w:r>
      <w:r/>
    </w:p>
    <w:p w14:paraId="6E1A0D2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Déploiement du schéma :</w:t>
      </w:r>
      <w:r>
        <w:rPr>
          <w:rFonts w:ascii="Arial" w:hAnsi="Arial" w:eastAsia="Arial" w:cs="Arial"/>
          <w:color w:val="1f1f1f"/>
          <w:sz w:val="24"/>
        </w:rPr>
        <w:t xml:space="preserve"> Exécuter manuellement les scripts de structure (DDL) sur la base de Toulouse avant d'activer la souscription, car la réplication logique ne transfère que les données (DML).</w:t>
      </w:r>
      <w:r/>
    </w:p>
    <w:p w14:paraId="5335552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Gel de la base cible :</w:t>
      </w:r>
      <w:r>
        <w:rPr>
          <w:rFonts w:ascii="Arial" w:hAnsi="Arial" w:eastAsia="Arial" w:cs="Arial"/>
          <w:color w:val="1f1f1f"/>
          <w:sz w:val="24"/>
        </w:rPr>
        <w:t xml:space="preserve"> Verrouiller la cible en mode lecture seule pendant toute la phase de réplication afin d'éviter tout conflit d'écriture.</w:t>
      </w:r>
      <w:r/>
    </w:p>
    <w:p w14:paraId="5F34D14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Recalage des séquences :</w:t>
      </w:r>
      <w:r>
        <w:rPr>
          <w:rFonts w:ascii="Arial" w:hAnsi="Arial" w:eastAsia="Arial" w:cs="Arial"/>
          <w:color w:val="1f1f1f"/>
          <w:sz w:val="24"/>
        </w:rPr>
        <w:t xml:space="preserve"> Planifier la réinitialisation manuelle des compteurs d'ID sur la cible immédiatement après la bascule.</w:t>
      </w:r>
      <w:r/>
    </w:p>
    <w:p w14:paraId="6A5707C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5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Nettoyage de la source :</w:t>
      </w:r>
      <w:r>
        <w:rPr>
          <w:rFonts w:ascii="Arial" w:hAnsi="Arial" w:eastAsia="Arial" w:cs="Arial"/>
          <w:color w:val="1f1f1f"/>
          <w:sz w:val="24"/>
        </w:rPr>
        <w:t xml:space="preserve"> Supprimer la publication sur le serveur de Montpellier une fois la migration validée pour éviter la rétention inutile des segments WAL de PostgreSQL.</w:t>
      </w:r>
      <w:r/>
    </w:p>
    <w:p w14:paraId="43C2D05B">
      <w:pPr>
        <w:pBdr/>
        <w:tabs>
          <w:tab w:val="left" w:leader="none" w:pos="1631"/>
        </w:tabs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DF1A4F7">
      <w:pPr>
        <w:pBdr/>
        <w:tabs>
          <w:tab w:val="left" w:leader="none" w:pos="1631"/>
        </w:tabs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headerReference w:type="default" r:id="rId9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1BDAB40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AE743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9BDA73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53480D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4B1CB8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2C9D01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ED4109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FBB05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683A2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75AD1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5E04E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A8731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97889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592952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7C8373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2026-05-19T13:05:16Z</dcterms:modified>
</cp:coreProperties>
</file>