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Tasks done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Salary Grievance :</w:t>
      </w:r>
      <w:r w:rsidDel="00000000" w:rsidR="00000000" w:rsidRPr="00000000">
        <w:rPr>
          <w:rtl w:val="0"/>
        </w:rPr>
        <w:t xml:space="preserve"> I’ve reviewed the concern and conveyed it to you.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Employee Grievance (Dipanshu):</w:t>
      </w:r>
      <w:r w:rsidDel="00000000" w:rsidR="00000000" w:rsidRPr="00000000">
        <w:rPr>
          <w:rtl w:val="0"/>
        </w:rPr>
        <w:t xml:space="preserve"> The matter has been noted and documented to ensure we handle it appropriately.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Uploads:</w:t>
      </w:r>
      <w:r w:rsidDel="00000000" w:rsidR="00000000" w:rsidRPr="00000000">
        <w:rPr>
          <w:rtl w:val="0"/>
        </w:rPr>
        <w:t xml:space="preserve"> The required documents for Aryan and Mukesh have been successfully uploaded and organized.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Leave Calculation (Dipanshu):</w:t>
      </w:r>
      <w:r w:rsidDel="00000000" w:rsidR="00000000" w:rsidRPr="00000000">
        <w:rPr>
          <w:rtl w:val="0"/>
        </w:rPr>
        <w:t xml:space="preserve"> I’ve also completed a detailed leave calculation to support accurate records and any related decisions.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Salary projection sheet - 2026 - Ongoing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