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IPCC Tier 2 Livestock GHG Uncertainty Calculator</w:t>
      </w:r>
    </w:p>
    <w:p>
      <w:pPr>
        <w:pStyle w:val="Subtitle"/>
      </w:pPr>
      <w:r>
        <w:t xml:space="preserve">User Guide</w:t>
      </w:r>
    </w:p>
    <w:p>
      <w:pPr>
        <w:pStyle w:val="Author"/>
      </w:pPr>
      <w:r>
        <w:t xml:space="preserve">CIAT / CGIAR Alliance — ClimateActionNetZero</w:t>
      </w:r>
    </w:p>
    <w:p>
      <w:r>
        <w:br w:type="page"/>
      </w:r>
    </w:p>
    <w:bookmarkStart w:id="12" w:name="overview"/>
    <w:p>
      <w:pPr>
        <w:pStyle w:val="Heading1"/>
      </w:pPr>
      <w:r>
        <w:t xml:space="preserve">Overview</w:t>
      </w:r>
    </w:p>
    <w:bookmarkStart w:id="9" w:name="what-this-tool-does"/>
    <w:p>
      <w:pPr>
        <w:pStyle w:val="Heading2"/>
      </w:pPr>
      <w:r>
        <w:t xml:space="preserve">What this tool does</w:t>
      </w:r>
    </w:p>
    <w:p>
      <w:pPr>
        <w:pStyle w:val="FirstParagraph"/>
      </w:pPr>
      <w:r>
        <w:t xml:space="preserve">National GHG inventories based on IPCC Tier 2 methods require not only a central estimate of emissions but also a quantification of their uncertainty. This tool automates that process for livestock (cattle) using Monte Carlo simulation:</w:t>
      </w:r>
    </w:p>
    <w:p>
      <w:pPr>
        <w:pStyle w:val="Compact"/>
        <w:numPr>
          <w:ilvl w:val="0"/>
          <w:numId w:val="1001"/>
        </w:numPr>
      </w:pPr>
      <w:r>
        <w:t xml:space="preserve">You supply your country-specific Tier 2 activity data and emission-factor inputs, each with an uncertainty range.</w:t>
      </w:r>
    </w:p>
    <w:p>
      <w:pPr>
        <w:pStyle w:val="Compact"/>
        <w:numPr>
          <w:ilvl w:val="0"/>
          <w:numId w:val="1001"/>
        </w:numPr>
      </w:pPr>
      <w:r>
        <w:t xml:space="preserve">The tool randomly samples from the uncertainty distributions you have defined (thousands of times) and propagates those samples through the full IPCC Tier 2 equation chain (Eq. 10.1–10.34).</w:t>
      </w:r>
    </w:p>
    <w:p>
      <w:pPr>
        <w:pStyle w:val="Compact"/>
        <w:numPr>
          <w:ilvl w:val="0"/>
          <w:numId w:val="1001"/>
        </w:numPr>
      </w:pPr>
      <w:r>
        <w:t xml:space="preserve">It reports the resulting 95% confidence interval around your emission estimate, identifies which parameters drive the most uncertainty (sensitivity analysis), and formats the results for submission in the format of IPCC 2006 Vol. 1 Ch. 3 Table 3.3.</w:t>
      </w:r>
    </w:p>
    <w:p>
      <w:pPr>
        <w:pStyle w:val="FirstParagraph"/>
      </w:pPr>
      <w:r>
        <w:t xml:space="preserve">The approach follows IPCC Approach 2 (Monte Carlo) as described in IPCC 2006 Vol. 1 Ch. 3.</w:t>
      </w:r>
    </w:p>
    <w:bookmarkEnd w:id="9"/>
    <w:bookmarkStart w:id="10" w:name="who-this-tool-is-for"/>
    <w:p>
      <w:pPr>
        <w:pStyle w:val="Heading2"/>
      </w:pPr>
      <w:r>
        <w:t xml:space="preserve">Who this tool is for</w:t>
      </w:r>
    </w:p>
    <w:p>
      <w:pPr>
        <w:pStyle w:val="FirstParagraph"/>
      </w:pPr>
      <w:r>
        <w:t xml:space="preserve">This tool is designed for national inventory practitioners who:</w:t>
      </w:r>
    </w:p>
    <w:p>
      <w:pPr>
        <w:pStyle w:val="Compact"/>
        <w:numPr>
          <w:ilvl w:val="0"/>
          <w:numId w:val="1002"/>
        </w:numPr>
      </w:pPr>
      <w:r>
        <w:t xml:space="preserve">Are already conducting or have recently completed a Tier 2 cattle GHG inventory (enteric fermentation, manure management, direct and indirect N</w:t>
      </w:r>
      <w:r>
        <w:t xml:space="preserve">O from pasture deposition)</w:t>
      </w:r>
    </w:p>
    <w:p>
      <w:pPr>
        <w:pStyle w:val="Compact"/>
        <w:numPr>
          <w:ilvl w:val="0"/>
          <w:numId w:val="1002"/>
        </w:numPr>
      </w:pPr>
      <w:r>
        <w:t xml:space="preserve">Have at least rough estimates of the uncertainty in their key activity data and emission factors</w:t>
      </w:r>
    </w:p>
    <w:p>
      <w:pPr>
        <w:pStyle w:val="Compact"/>
        <w:numPr>
          <w:ilvl w:val="0"/>
          <w:numId w:val="1002"/>
        </w:numPr>
      </w:pPr>
      <w:r>
        <w:t xml:space="preserve">Need to report the uncertainty range for inclusion in national inventory reports</w:t>
      </w:r>
    </w:p>
    <w:p>
      <w:pPr>
        <w:pStyle w:val="FirstParagraph"/>
      </w:pPr>
      <w:r>
        <w:t xml:space="preserve">The tool assumes basic familiarity with IPCC Tier 2 methodology. Users do not need prior experience with Monte Carlo methods, but a conceptual understanding of probability distributions is helpful.</w:t>
      </w:r>
    </w:p>
    <w:bookmarkEnd w:id="10"/>
    <w:bookmarkStart w:id="11" w:name="emission-sources-covered"/>
    <w:p>
      <w:pPr>
        <w:pStyle w:val="Heading2"/>
      </w:pPr>
      <w:r>
        <w:t xml:space="preserve">Emission sources covered</w:t>
      </w:r>
    </w:p>
    <w:p>
      <w:r>
        <w:br w:type="page"/>
      </w:r>
    </w:p>
    <w:bookmarkEnd w:id="11"/>
    <w:bookmarkEnd w:id="12"/>
    <w:bookmarkStart w:id="21" w:name="preparing-your-data"/>
    <w:p>
      <w:pPr>
        <w:pStyle w:val="Heading1"/>
      </w:pPr>
      <w:r>
        <w:t xml:space="preserve">Preparing your data</w:t>
      </w:r>
    </w:p>
    <w:bookmarkStart w:id="13" w:name="what-you-need-before-you-start"/>
    <w:p>
      <w:pPr>
        <w:pStyle w:val="Heading2"/>
      </w:pPr>
      <w:r>
        <w:t xml:space="preserve">What you need before you start</w:t>
      </w:r>
    </w:p>
    <w:p>
      <w:pPr>
        <w:pStyle w:val="FirstParagraph"/>
      </w:pPr>
      <w:r>
        <w:t xml:space="preserve">Before opening the tool, assemble the following:</w:t>
      </w:r>
    </w:p>
    <w:p>
      <w:pPr>
        <w:numPr>
          <w:ilvl w:val="0"/>
          <w:numId w:val="1003"/>
        </w:numPr>
      </w:pPr>
      <w:r>
        <w:rPr>
          <w:b/>
          <w:bCs/>
        </w:rPr>
        <w:t xml:space="preserve">Activity data</w:t>
      </w:r>
      <w:r>
        <w:t xml:space="preserve">: For each animal sub-category, the population (N), body weight (BW), weight gain (WG), milk yield (for dairy), milk fat %, digestible energy (DE%), manure management system (MMS) fractions, and other Tier 2 inputs.</w:t>
      </w:r>
    </w:p>
    <w:p>
      <w:pPr>
        <w:numPr>
          <w:ilvl w:val="0"/>
          <w:numId w:val="1003"/>
        </w:numPr>
      </w:pPr>
      <w:r>
        <w:rPr>
          <w:b/>
          <w:bCs/>
        </w:rPr>
        <w:t xml:space="preserve">Uncertainty ranges</w:t>
      </w:r>
      <w:r>
        <w:t xml:space="preserve">: For each parameter, an estimate of its uncertainty — typically either:</w:t>
      </w:r>
    </w:p>
    <w:p>
      <w:pPr>
        <w:pStyle w:val="Compact"/>
        <w:numPr>
          <w:ilvl w:val="1"/>
          <w:numId w:val="1004"/>
        </w:numPr>
      </w:pPr>
      <w:r>
        <w:t xml:space="preserve">A percentage uncertainty (e.g. ±20% representing the half-width of a 95% confidence interval), or</w:t>
      </w:r>
    </w:p>
    <w:p>
      <w:pPr>
        <w:pStyle w:val="Compact"/>
        <w:numPr>
          <w:ilvl w:val="1"/>
          <w:numId w:val="1004"/>
        </w:numPr>
      </w:pPr>
      <w:r>
        <w:t xml:space="preserve">Explicit lower and upper bounds.</w:t>
      </w:r>
    </w:p>
    <w:p>
      <w:pPr>
        <w:numPr>
          <w:ilvl w:val="0"/>
          <w:numId w:val="1003"/>
        </w:numPr>
      </w:pPr>
      <w:r>
        <w:rPr>
          <w:b/>
          <w:bCs/>
        </w:rPr>
        <w:t xml:space="preserve">Manure management fractions</w:t>
      </w:r>
      <w:r>
        <w:t xml:space="preserve"> </w:t>
      </w:r>
      <w:r>
        <w:t xml:space="preserve">(if running manure N</w:t>
      </w:r>
      <w:r>
        <w:t xml:space="preserve">O): The percentage of manure allocated to each management system (pasture, solid storage, liquid, etc.). If you are uncertain about the allocation itself, the Manure_Management tab also has optional</w:t>
      </w:r>
      <w:r>
        <w:t xml:space="preserve"> </w:t>
      </w:r>
      <w:r>
        <w:t xml:space="preserve"> </w:t>
      </w:r>
      <w:r>
        <w:t xml:space="preserve">/</w:t>
      </w:r>
      <w:r>
        <w:t xml:space="preserve"> </w:t>
      </w:r>
      <w:r>
        <w:t xml:space="preserve"> </w:t>
      </w:r>
      <w:r>
        <w:t xml:space="preserve">/</w:t>
      </w:r>
      <w:r>
        <w:t xml:space="preserve"> </w:t>
      </w:r>
      <w:r>
        <w:t xml:space="preserve"> </w:t>
      </w:r>
      <w:r>
        <w:t xml:space="preserve">columns — fill them and the tool will sample each MMS within its range, renormalising every Monte Carlo iteration so the simplex (per-group rows sum to 100%) is preserved. The sampled values surface as</w:t>
      </w:r>
      <w:r>
        <w:t xml:space="preserve"> </w:t>
      </w:r>
      <w:r>
        <w:t xml:space="preserve"> </w:t>
      </w:r>
      <w:r>
        <w:t xml:space="preserve">in the sensitivity tornado so MMS allocation can show up as an influential driver. Leave blank to keep</w:t>
      </w:r>
      <w:r>
        <w:t xml:space="preserve"> </w:t>
      </w:r>
      <w:r>
        <w:t xml:space="preserve"> </w:t>
      </w:r>
      <w:r>
        <w:t xml:space="preserve">deterministic (the default, matching the IPCC Inventory Software).</w:t>
      </w:r>
    </w:p>
    <w:p>
      <w:pPr>
        <w:pStyle w:val="FirstParagraph"/>
      </w:pPr>
      <w:r>
        <w:t xml:space="preserve">If you do not yet have uncertainty estimates, see Section 2.4 for guidance on obtaining them.</w:t>
      </w:r>
    </w:p>
    <w:p>
      <w:pPr>
        <w:pStyle w:val="BodyText"/>
      </w:pPr>
      <w:r>
        <w:t xml:space="preserve"> </w:t>
      </w:r>
      <w:r>
        <w:t xml:space="preserve">The tool’s pre-run check is source-aware: if you select only the methane sources (enteric, manure CH</w:t>
      </w:r>
      <w:r>
        <w:t xml:space="preserve">), it will not ask you to fill the N</w:t>
      </w:r>
      <w:r>
        <w:t xml:space="preserve">O parameters, and vice versa. So a methane-only run never blocks on blank manure-N</w:t>
      </w:r>
      <w:r>
        <w:t xml:space="preserve">O cells. The managed-storage N</w:t>
      </w:r>
      <w:r>
        <w:t xml:space="preserve">O quantities (EF3 per system, Frac_GasMS, Frac_LeachMS) live in the Manure_Management tab — fill them there, not in the Parameters tab.</w:t>
      </w:r>
    </w:p>
    <w:bookmarkEnd w:id="13"/>
    <w:bookmarkStart w:id="14" w:name="Xe00f91620ce2745c168df1c53c3192ab266978c"/>
    <w:p>
      <w:pPr>
        <w:pStyle w:val="Heading2"/>
      </w:pPr>
      <w:r>
        <w:t xml:space="preserve">AI-assisted data preparation (optional, free)</w:t>
      </w:r>
    </w:p>
    <w:p>
      <w:pPr>
        <w:pStyle w:val="FirstParagraph"/>
      </w:pPr>
      <w:r>
        <w:t xml:space="preserve">If your raw inventory data lives in your own Excel or CSV files with column names that do not match the template, you can use the free</w:t>
      </w:r>
      <w:r>
        <w:t xml:space="preserve"> </w:t>
      </w:r>
      <w:r>
        <w:rPr>
          <w:b/>
          <w:bCs/>
        </w:rPr>
        <w:t xml:space="preserve">GMH Uncertainty Translator</w:t>
      </w:r>
      <w:r>
        <w:t xml:space="preserve"> </w:t>
      </w:r>
      <w:r>
        <w:t xml:space="preserve">on</w:t>
      </w:r>
      <w:r>
        <w:t xml:space="preserve"> </w:t>
      </w:r>
      <w:r>
        <w:t xml:space="preserve"> </w:t>
      </w:r>
      <w:r>
        <w:t xml:space="preserve">to do the column-mapping and unit-conversion work for you. The Translator is a small AI assistant — loaded with the parameter catalogue, the template schema, and ten worked mapping examples — that you set up once inside your own free Claude.ai account and then reuse for every inventory. It is free, requires no installation, and your data stays inside your own account.</w:t>
      </w:r>
    </w:p>
    <w:p>
      <w:pPr>
        <w:pStyle w:val="BodyText"/>
      </w:pPr>
      <w:r>
        <w:t xml:space="preserve"> </w:t>
      </w:r>
      <w:r>
        <w:t xml:space="preserve">The Resources tab offers a downloadable</w:t>
      </w:r>
      <w:r>
        <w:t xml:space="preserve"> </w:t>
      </w:r>
      <w:r>
        <w:t xml:space="preserve"> </w:t>
      </w:r>
      <w:r>
        <w:t xml:space="preserve">containing a system-instructions file plus four small knowledge files. After signing up for a free Claude.ai account, you create a Project in claude.ai (Projects</w:t>
      </w:r>
      <w:r>
        <w:t xml:space="preserve"> </w:t>
      </w:r>
      <m:oMath>
        <m:r>
          <m:rPr>
            <m:sty m:val="p"/>
          </m:rPr>
          <m:t>→</m:t>
        </m:r>
      </m:oMath>
      <w:r>
        <w:t xml:space="preserve"> </w:t>
      </w:r>
      <w:r>
        <w:t xml:space="preserve">Create project), paste the contents of</w:t>
      </w:r>
      <w:r>
        <w:t xml:space="preserve"> </w:t>
      </w:r>
      <w:r>
        <w:t xml:space="preserve"> </w:t>
      </w:r>
      <w:r>
        <w:t xml:space="preserve">into the Project’s</w:t>
      </w:r>
      <w:r>
        <w:t xml:space="preserve"> </w:t>
      </w:r>
      <w:r>
        <w:t xml:space="preserve"> </w:t>
      </w:r>
      <w:r>
        <w:t xml:space="preserve">field, then drag the four knowledge files (</w:t>
      </w:r>
      <w:r>
        <w:t xml:space="preserve">,</w:t>
      </w:r>
      <w:r>
        <w:t xml:space="preserve"> </w:t>
      </w:r>
      <w:r>
        <w:t xml:space="preserve">,</w:t>
      </w:r>
      <w:r>
        <w:t xml:space="preserve"> </w:t>
      </w:r>
      <w:r>
        <w:t xml:space="preserve">,</w:t>
      </w:r>
      <w:r>
        <w:t xml:space="preserve"> </w:t>
      </w:r>
      <w:r>
        <w:t xml:space="preserve">) into the Project’s</w:t>
      </w:r>
      <w:r>
        <w:t xml:space="preserve"> </w:t>
      </w:r>
      <w:r>
        <w:t xml:space="preserve"> </w:t>
      </w:r>
      <w:r>
        <w:t xml:space="preserve">panel. That is the whole setup — you only do it once. Step-by-step screenshots are in the Getting Started guide available from the Resources tab.</w:t>
      </w:r>
    </w:p>
    <w:p>
      <w:pPr>
        <w:pStyle w:val="BodyText"/>
      </w:pPr>
      <w:r>
        <w:t xml:space="preserve"> </w:t>
      </w:r>
      <w:r>
        <w:t xml:space="preserve">The chat with the Translator has two distinct inputs you provide: a</w:t>
      </w:r>
      <w:r>
        <w:t xml:space="preserve"> </w:t>
      </w:r>
      <w:r>
        <w:t xml:space="preserve"> </w:t>
      </w:r>
      <w:r>
        <w:t xml:space="preserve">that you</w:t>
      </w:r>
      <w:r>
        <w:t xml:space="preserve"> </w:t>
      </w:r>
      <w:r>
        <w:t xml:space="preserve"> </w:t>
      </w:r>
      <w:r>
        <w:t xml:space="preserve">into the chat, and your</w:t>
      </w:r>
      <w:r>
        <w:t xml:space="preserve"> </w:t>
      </w:r>
      <w:r>
        <w:t xml:space="preserve"> </w:t>
      </w:r>
      <w:r>
        <w:t xml:space="preserve">that you</w:t>
      </w:r>
      <w:r>
        <w:t xml:space="preserve"> </w:t>
      </w:r>
      <w:r>
        <w:t xml:space="preserve"> </w:t>
      </w:r>
      <w:r>
        <w:t xml:space="preserve">when Claude prompts you. The questionnaire is not a separate upload — it is a one-page form whose contents you copy-paste into the chat box, so Claude knows about your inventory up front and can skip its warm-up questions.</w:t>
      </w:r>
    </w:p>
    <w:p>
      <w:pPr>
        <w:pStyle w:val="BodyText"/>
      </w:pPr>
      <w:r>
        <w:t xml:space="preserve"> </w:t>
      </w:r>
      <w:r>
        <w:t xml:space="preserve">The Translator is most useful when (a) your data is in a non-standard shape, (b) your column names differ from the template (e.g. </w:t>
      </w:r>
      <w:r>
        <w:t xml:space="preserve">,</w:t>
      </w:r>
      <w:r>
        <w:t xml:space="preserve"> </w:t>
      </w:r>
      <w:r>
        <w:t xml:space="preserve">), (c) you have data in inconsistent units (lbs vs kg, fractions vs percentages), or (d) you want IPCC defaults filled in for the parameters you do not measure.</w:t>
      </w:r>
    </w:p>
    <w:p>
      <w:pPr>
        <w:pStyle w:val="BodyText"/>
      </w:pPr>
      <w:r>
        <w:t xml:space="preserve"> </w:t>
      </w:r>
      <w:r>
        <w:t xml:space="preserve">The Translator does column-mapping, not analysis. Always (a) spot-check the key numbers (population, body weight, milk yield) by comparing with your original file, and (b) review the QA/QC tab after upload — any value the Translator filled from an IPCC default is flagged in amber there.</w:t>
      </w:r>
    </w:p>
    <w:bookmarkEnd w:id="14"/>
    <w:bookmarkStart w:id="15" w:name="complete-parameter-reference"/>
    <w:p>
      <w:pPr>
        <w:pStyle w:val="Heading2"/>
      </w:pPr>
      <w:r>
        <w:t xml:space="preserve">Complete parameter reference</w:t>
      </w:r>
    </w:p>
    <w:p>
      <w:pPr>
        <w:pStyle w:val="FirstParagraph"/>
      </w:pPr>
      <w:r>
        <w:t xml:space="preserve">The table below lists all parameters accepted by the tool. Required parameters depend on the emission sources you are running. Parameters marked</w:t>
      </w:r>
      <w:r>
        <w:t xml:space="preserve"> </w:t>
      </w:r>
      <w:r>
        <w:t xml:space="preserve"> </w:t>
      </w:r>
      <w:r>
        <w:t xml:space="preserve">in the IPCC default column must be supplied from your national data. The tool will auto-fill missing optional parameters with IPCC defaults and flag them in Tab 1 (see Section 3.2).</w:t>
      </w:r>
    </w:p>
    <w:p>
      <w:pPr>
        <w:pStyle w:val="BodyText"/>
      </w:pPr>
      <w:r>
        <w:t xml:space="preserve">: Parameters flagged</w:t>
      </w:r>
      <w:r>
        <w:t xml:space="preserve"> </w:t>
      </w:r>
      <w:r>
        <w:t xml:space="preserve">“asymmetric”</w:t>
      </w:r>
      <w:r>
        <w:t xml:space="preserve"> </w:t>
      </w:r>
      <w:r>
        <w:t xml:space="preserve">use explicit lower/upper bounds from the IPCC tables rather than a symmetric ±% formula. The template pre-fills these bounds automatically from the IPCC 2019 Refinement tables.</w:t>
      </w:r>
      <w:r>
        <w:t xml:space="preserve"> </w:t>
      </w:r>
      <w:r>
        <w:t xml:space="preserve">: this is the canonical name (matches IPCC Vol.4 Ch.10 Eq. 10.13’s</w:t>
      </w:r>
      <w:r>
        <w:t xml:space="preserve"> </w:t>
      </w:r>
      <w:r>
        <w:t xml:space="preserve">“% females pregnant”</w:t>
      </w:r>
      <w:r>
        <w:t xml:space="preserve"> </w:t>
      </w:r>
      <w:r>
        <w:t xml:space="preserve">— includes pregnant heifers that have not yet calved). Legacy column names</w:t>
      </w:r>
      <w:r>
        <w:t xml:space="preserve"> </w:t>
      </w:r>
      <w:r>
        <w:t xml:space="preserve"> </w:t>
      </w:r>
      <w:r>
        <w:t xml:space="preserve">and</w:t>
      </w:r>
      <w:r>
        <w:t xml:space="preserve"> </w:t>
      </w:r>
      <w:r>
        <w:t xml:space="preserve"> </w:t>
      </w:r>
      <w:r>
        <w:t xml:space="preserve">are automatically renamed to</w:t>
      </w:r>
      <w:r>
        <w:t xml:space="preserve"> </w:t>
      </w:r>
      <w:r>
        <w:t xml:space="preserve"> </w:t>
      </w:r>
      <w:r>
        <w:t xml:space="preserve">on upload, so existing templates continue to work without edits.</w:t>
      </w:r>
    </w:p>
    <w:bookmarkEnd w:id="15"/>
    <w:bookmarkStart w:id="16" w:name="understanding-the-input-structure"/>
    <w:p>
      <w:pPr>
        <w:pStyle w:val="Heading2"/>
      </w:pPr>
      <w:r>
        <w:t xml:space="preserve">Understanding the input structure</w:t>
      </w:r>
    </w:p>
    <w:p>
      <w:pPr>
        <w:pStyle w:val="FirstParagraph"/>
      </w:pPr>
      <w:r>
        <w:t xml:space="preserve">The tool uses an Excel template with a specific structure. Download the template from the</w:t>
      </w:r>
      <w:r>
        <w:t xml:space="preserve"> </w:t>
      </w:r>
      <w:r>
        <w:rPr>
          <w:b/>
          <w:bCs/>
        </w:rPr>
        <w:t xml:space="preserve">Data Input</w:t>
      </w:r>
      <w:r>
        <w:t xml:space="preserve"> </w:t>
      </w:r>
      <w:r>
        <w:t xml:space="preserve">tab (Tab 1) by clicking</w:t>
      </w:r>
      <w:r>
        <w:t xml:space="preserve"> </w:t>
      </w:r>
      <w:r>
        <w:t xml:space="preserve">“Download Excel template”</w:t>
      </w:r>
      <w:r>
        <w:t xml:space="preserve">.</w:t>
      </w:r>
    </w:p>
    <w:bookmarkEnd w:id="16"/>
    <w:bookmarkStart w:id="17" w:name="the-inventory_metadata-sheet"/>
    <w:p>
      <w:pPr>
        <w:pStyle w:val="Heading2"/>
      </w:pPr>
      <w:r>
        <w:t xml:space="preserve">The Inventory_Metadata sheet</w:t>
      </w:r>
    </w:p>
    <w:p>
      <w:pPr>
        <w:pStyle w:val="FirstParagraph"/>
      </w:pPr>
      <w:r>
        <w:t xml:space="preserve">The first sheet captures who and where the inventory is for. Two cells deserve a note:</w:t>
      </w:r>
    </w:p>
    <w:p>
      <w:pPr>
        <w:pStyle w:val="Compact"/>
        <w:numPr>
          <w:ilvl w:val="0"/>
          <w:numId w:val="1005"/>
        </w:numPr>
      </w:pPr>
      <w:r>
        <w:t xml:space="preserve">: free text (e.g. </w:t>
      </w:r>
      <w:r>
        <w:t xml:space="preserve">). Used in the report header — not used for any lookup.</w:t>
      </w:r>
    </w:p>
    <w:p>
      <w:pPr>
        <w:pStyle w:val="Compact"/>
        <w:numPr>
          <w:ilvl w:val="0"/>
          <w:numId w:val="1005"/>
        </w:numPr>
      </w:pPr>
      <w:r>
        <w:t xml:space="preserve">: a</w:t>
      </w:r>
      <w:r>
        <w:t xml:space="preserve"> </w:t>
      </w:r>
      <w:r>
        <w:t xml:space="preserve"> </w:t>
      </w:r>
      <w:r>
        <w:t xml:space="preserve">(</w:t>
      </w:r>
      <w:r>
        <w:t xml:space="preserve">). This drives the QA tab’s BW deviation check, which compares your body-weight value against the IPCC Vol.4 Ch.10 Annex Tables 10A.1 / 10A.2 / 10A.3 default for your continent. Pick the continent your inventory’s animal sub-categories are in. If you genuinely do not know or are running a hypothetical example, select</w:t>
      </w:r>
      <w:r>
        <w:t xml:space="preserve"> </w:t>
      </w:r>
      <w:r>
        <w:t xml:space="preserve">.</w:t>
      </w:r>
    </w:p>
    <w:p>
      <w:pPr>
        <w:pStyle w:val="FirstParagraph"/>
      </w:pPr>
      <w:r>
        <w:t xml:space="preserve">: if you uploaded a template downloaded before this region field was split out (i.e. only the old single</w:t>
      </w:r>
      <w:r>
        <w:t xml:space="preserve"> </w:t>
      </w:r>
      <w:r>
        <w:rPr>
          <w:rStyle w:val="VerbatimChar"/>
        </w:rPr>
        <w:t xml:space="preserve">Country / region'' cell), the parser maps common country names (Zimbabwe, India, Brazil, …) to the right continent automatically. Anything unrecognised falls back to \texttt{global} (no false BW warnings; the QA message will just say</w:t>
      </w:r>
      <w:r>
        <w:t xml:space="preserve">global’’). Re-downloading the current template is recommended but not required.</w:t>
      </w:r>
    </w:p>
    <w:p>
      <w:pPr>
        <w:pStyle w:val="BodyText"/>
      </w:pPr>
      <w:r>
        <w:t xml:space="preserve">The Parameters sheet has the following key columns:</w:t>
      </w:r>
    </w:p>
    <w:p>
      <w:pPr>
        <w:pStyle w:val="BodyText"/>
      </w:pPr>
      <w:r>
        <w:t xml:space="preserve"> </w:t>
      </w:r>
      <w:r>
        <w:t xml:space="preserve">Each row is one parameter for one sub-category. A country with two production systems and five sub-categories each would have approximately 12–15 parameters × 10 sub-categories = 100–150 rows.</w:t>
      </w:r>
    </w:p>
    <w:bookmarkEnd w:id="17"/>
    <w:bookmarkStart w:id="18" w:name="defining-sub-categories"/>
    <w:p>
      <w:pPr>
        <w:pStyle w:val="Heading2"/>
      </w:pPr>
      <w:r>
        <w:t xml:space="preserve">Defining sub-categories</w:t>
      </w:r>
    </w:p>
    <w:p>
      <w:pPr>
        <w:pStyle w:val="FirstParagraph"/>
      </w:pPr>
      <w:r>
        <w:t xml:space="preserve">Sub-categories should match your national inventory. Typical sub-categories include:</w:t>
      </w:r>
    </w:p>
    <w:p>
      <w:pPr>
        <w:pStyle w:val="Compact"/>
        <w:numPr>
          <w:ilvl w:val="0"/>
          <w:numId w:val="1006"/>
        </w:numPr>
      </w:pPr>
      <w:r>
        <w:t xml:space="preserve">Dairy:</w:t>
      </w:r>
      <w:r>
        <w:t xml:space="preserve"> </w:t>
      </w:r>
      <w:r>
        <w:t xml:space="preserve"> </w:t>
      </w:r>
      <w:r>
        <w:t xml:space="preserve">(lactating),</w:t>
      </w:r>
      <w:r>
        <w:t xml:space="preserve"> </w:t>
      </w:r>
      <w:r>
        <w:t xml:space="preserve">,</w:t>
      </w:r>
      <w:r>
        <w:t xml:space="preserve"> </w:t>
      </w:r>
      <w:r>
        <w:t xml:space="preserve">,</w:t>
      </w:r>
      <w:r>
        <w:t xml:space="preserve"> </w:t>
      </w:r>
      <w:r>
        <w:t xml:space="preserve">,</w:t>
      </w:r>
      <w:r>
        <w:t xml:space="preserve"> </w:t>
      </w:r>
    </w:p>
    <w:p>
      <w:pPr>
        <w:pStyle w:val="Compact"/>
        <w:numPr>
          <w:ilvl w:val="0"/>
          <w:numId w:val="1006"/>
        </w:numPr>
      </w:pPr>
      <w:r>
        <w:t xml:space="preserve">Non-dairy beef:</w:t>
      </w:r>
      <w:r>
        <w:t xml:space="preserve"> </w:t>
      </w:r>
      <w:r>
        <w:t xml:space="preserve">,</w:t>
      </w:r>
      <w:r>
        <w:t xml:space="preserve"> </w:t>
      </w:r>
      <w:r>
        <w:t xml:space="preserve">,</w:t>
      </w:r>
      <w:r>
        <w:t xml:space="preserve"> </w:t>
      </w:r>
      <w:r>
        <w:t xml:space="preserve">,</w:t>
      </w:r>
      <w:r>
        <w:t xml:space="preserve"> </w:t>
      </w:r>
      <w:r>
        <w:t xml:space="preserve">,</w:t>
      </w:r>
      <w:r>
        <w:t xml:space="preserve"> </w:t>
      </w:r>
    </w:p>
    <w:p>
      <w:pPr>
        <w:pStyle w:val="FirstParagraph"/>
      </w:pPr>
      <w:r>
        <w:t xml:space="preserve">Each sub-category needs its own rows for all relevant parameters. The values of</w:t>
      </w:r>
      <w:r>
        <w:t xml:space="preserve"> </w:t>
      </w:r>
      <w:r>
        <w:t xml:space="preserve">,</w:t>
      </w:r>
      <w:r>
        <w:t xml:space="preserve"> </w:t>
      </w:r>
      <w:r>
        <w:t xml:space="preserve">, and</w:t>
      </w:r>
      <w:r>
        <w:t xml:space="preserve"> </w:t>
      </w:r>
      <w:r>
        <w:t xml:space="preserve"> </w:t>
      </w:r>
      <w:r>
        <w:t xml:space="preserve">together identify each group uniquely — they must be spelled consistently across all rows for the same group.</w:t>
      </w:r>
    </w:p>
    <w:bookmarkEnd w:id="18"/>
    <w:bookmarkStart w:id="19" w:name="obtaining-uncertainty-estimates"/>
    <w:p>
      <w:pPr>
        <w:pStyle w:val="Heading2"/>
      </w:pPr>
      <w:r>
        <w:t xml:space="preserve">Obtaining uncertainty estimates</w:t>
      </w:r>
    </w:p>
    <w:p>
      <w:pPr>
        <w:pStyle w:val="FirstParagraph"/>
      </w:pPr>
    </w:p>
    <w:p>
      <w:pPr>
        <w:pStyle w:val="Compact"/>
        <w:numPr>
          <w:ilvl w:val="0"/>
          <w:numId w:val="1007"/>
        </w:numPr>
      </w:pPr>
      <w:r>
        <w:t xml:space="preserve">: If populations are estimated from livestock surveys, the survey sampling error provides a direct estimate of uncertainty. The 95% confidence interval from a survey translates directly to the</w:t>
      </w:r>
      <w:r>
        <w:t xml:space="preserve"> </w:t>
      </w:r>
      <w:r>
        <w:t xml:space="preserve"> </w:t>
      </w:r>
      <w:r>
        <w:t xml:space="preserve">and</w:t>
      </w:r>
      <w:r>
        <w:t xml:space="preserve"> </w:t>
      </w:r>
      <w:r>
        <w:t xml:space="preserve"> </w:t>
      </w:r>
      <w:r>
        <w:t xml:space="preserve">bounds (or to</w:t>
      </w:r>
      <w:r>
        <w:t xml:space="preserve"> </w:t>
      </w:r>
      <w:r>
        <w:t xml:space="preserve"> </w:t>
      </w:r>
      <w:r>
        <w:t xml:space="preserve">if symmetric).</w:t>
      </w:r>
    </w:p>
    <w:p>
      <w:pPr>
        <w:pStyle w:val="Compact"/>
        <w:numPr>
          <w:ilvl w:val="0"/>
          <w:numId w:val="1007"/>
        </w:numPr>
      </w:pPr>
      <w:r>
        <w:t xml:space="preserve">: Ask the data provider to give a range within which they are 95% confident the true value falls.</w:t>
      </w:r>
    </w:p>
    <w:p>
      <w:pPr>
        <w:pStyle w:val="Compact"/>
        <w:numPr>
          <w:ilvl w:val="0"/>
          <w:numId w:val="1007"/>
        </w:numPr>
      </w:pPr>
      <w:r>
        <w:t xml:space="preserve">: IPCC 2019 Refinement Chapter 11 provides uncertainty ranges for key emission factors. Use these as the starting point if no country-specific data is available.</w:t>
      </w:r>
    </w:p>
    <w:p>
      <w:pPr>
        <w:pStyle w:val="FirstParagraph"/>
      </w:pPr>
    </w:p>
    <w:p>
      <w:pPr>
        <w:pStyle w:val="Compact"/>
        <w:numPr>
          <w:ilvl w:val="0"/>
          <w:numId w:val="1008"/>
        </w:numPr>
      </w:pPr>
      <w:r>
        <w:t xml:space="preserve">: If you used a country-specific value from a published study, the study’s reported confidence interval or standard deviation can be used.</w:t>
      </w:r>
    </w:p>
    <w:p>
      <w:pPr>
        <w:pStyle w:val="Compact"/>
        <w:numPr>
          <w:ilvl w:val="0"/>
          <w:numId w:val="1008"/>
        </w:numPr>
      </w:pPr>
      <w:r>
        <w:t xml:space="preserve">: IPCC 2019 Refinement (Vol.4 Ch.10 / Ch.11) gives lower / upper bounds for several emission factors (e.g. EF</w:t>
      </w:r>
      <w:r>
        <w:t xml:space="preserve">, Ym, MCF). The template pre-fills these where IPCC publishes them; where IPCC does not publish a CI, the template falls back to ranges from Penman</w:t>
      </w:r>
      <w:r>
        <w:t xml:space="preserve"> </w:t>
      </w:r>
      <w:r>
        <w:t xml:space="preserve"> </w:t>
      </w:r>
      <w:r>
        <w:t xml:space="preserve">(2000) and Monni</w:t>
      </w:r>
      <w:r>
        <w:t xml:space="preserve"> </w:t>
      </w:r>
      <w:r>
        <w:t xml:space="preserve"> </w:t>
      </w:r>
      <w:r>
        <w:t xml:space="preserve">(2007) — these are clearly distinguished in the template footnotes.</w:t>
      </w:r>
    </w:p>
    <w:p>
      <w:pPr>
        <w:pStyle w:val="Compact"/>
        <w:numPr>
          <w:ilvl w:val="0"/>
          <w:numId w:val="1008"/>
        </w:numPr>
      </w:pPr>
      <w:r>
        <w:t xml:space="preserve">: Ask the expert who provided the value to estimate the plausible range.</w:t>
      </w:r>
    </w:p>
    <w:p>
      <w:pPr>
        <w:pStyle w:val="FirstParagraph"/>
      </w:pPr>
      <w:r>
        <w:t xml:space="preserve">If you genuinely have no information about a parameter’s uncertainty, a reasonable default for emission factors is</w:t>
      </w:r>
      <w:r>
        <w:t xml:space="preserve"> </w:t>
      </w:r>
      <w:r>
        <w:t xml:space="preserve">20–40%. For population data with census-based estimates,</w:t>
      </w:r>
      <w:r>
        <w:t xml:space="preserve"> </w:t>
      </w:r>
      <w:r>
        <w:t xml:space="preserve">5–15% is typical.</w:t>
      </w:r>
    </w:p>
    <w:bookmarkEnd w:id="19"/>
    <w:bookmarkStart w:id="20" w:name="choosing-a-distribution"/>
    <w:p>
      <w:pPr>
        <w:pStyle w:val="Heading2"/>
      </w:pPr>
      <w:r>
        <w:t xml:space="preserve">Choosing a distribution</w:t>
      </w:r>
    </w:p>
    <w:p>
      <w:pPr>
        <w:pStyle w:val="FirstParagraph"/>
      </w:pPr>
    </w:p>
    <w:p>
      <w:r>
        <w:br w:type="page"/>
      </w:r>
    </w:p>
    <w:bookmarkEnd w:id="20"/>
    <w:bookmarkEnd w:id="21"/>
    <w:bookmarkStart w:id="24" w:name="loading-your-data-tab-1-data-input"/>
    <w:p>
      <w:pPr>
        <w:pStyle w:val="Heading1"/>
      </w:pPr>
      <w:r>
        <w:t xml:space="preserve">Loading your data (Tab 1 — Data Input)</w:t>
      </w:r>
    </w:p>
    <w:bookmarkStart w:id="22" w:name="using-the-example-datasets"/>
    <w:p>
      <w:pPr>
        <w:pStyle w:val="Heading2"/>
      </w:pPr>
      <w:r>
        <w:t xml:space="preserve">Using the example datasets</w:t>
      </w:r>
    </w:p>
    <w:p>
      <w:pPr>
        <w:pStyle w:val="FirstParagraph"/>
      </w:pPr>
      <w:r>
        <w:t xml:space="preserve">Two built-in example datasets are included to let you explore the tool without uploading your own data:</w:t>
      </w:r>
    </w:p>
    <w:p>
      <w:pPr>
        <w:pStyle w:val="Compact"/>
        <w:numPr>
          <w:ilvl w:val="0"/>
          <w:numId w:val="1009"/>
        </w:numPr>
      </w:pPr>
      <w:r>
        <w:t xml:space="preserve">: A fictional East African highland dairy system — 12 parameters, dairy/cows, including a synthetic 5-year time series.</w:t>
      </w:r>
    </w:p>
    <w:p>
      <w:pPr>
        <w:pStyle w:val="Compact"/>
        <w:numPr>
          <w:ilvl w:val="0"/>
          <w:numId w:val="1009"/>
        </w:numPr>
      </w:pPr>
      <w:r>
        <w:t xml:space="preserve">: A fictional semi-arid pastoral beef system — 11 parameters, non-dairy/breeding cows, including a synthetic 5-year time series.</w:t>
      </w:r>
    </w:p>
    <w:p>
      <w:pPr>
        <w:pStyle w:val="FirstParagraph"/>
      </w:pPr>
      <w:r>
        <w:t xml:space="preserve">Select either from the</w:t>
      </w:r>
      <w:r>
        <w:t xml:space="preserve"> </w:t>
      </w:r>
      <w:r>
        <w:t xml:space="preserve">“Country / Example Data”</w:t>
      </w:r>
      <w:r>
        <w:t xml:space="preserve"> </w:t>
      </w:r>
      <w:r>
        <w:t xml:space="preserve">dropdown. The tool loads the data immediately and you can proceed directly to Tab 2.</w:t>
      </w:r>
    </w:p>
    <w:bookmarkEnd w:id="22"/>
    <w:bookmarkStart w:id="23" w:name="uploading-your-own-data"/>
    <w:p>
      <w:pPr>
        <w:pStyle w:val="Heading2"/>
      </w:pPr>
      <w:r>
        <w:t xml:space="preserve">Uploading your own data</w:t>
      </w:r>
    </w:p>
    <w:p>
      <w:pPr>
        <w:pStyle w:val="FirstParagraph"/>
      </w:pPr>
      <w:r>
        <w:rPr>
          <w:b/>
          <w:bCs/>
        </w:rPr>
        <w:t xml:space="preserve">Step 1 — Choose an IPCC Guidelines version.</w:t>
      </w:r>
      <w:r>
        <w:t xml:space="preserve"> </w:t>
      </w:r>
      <w:r>
        <w:t xml:space="preserve">Before downloading the template, select the IPCC version your inventory follows:</w:t>
      </w:r>
    </w:p>
    <w:p>
      <w:pPr>
        <w:pStyle w:val="Compact"/>
        <w:numPr>
          <w:ilvl w:val="0"/>
          <w:numId w:val="1010"/>
        </w:numPr>
      </w:pPr>
      <w:r>
        <w:t xml:space="preserve">: Uses the eight original manure management systems (MMS). Choose this if your national inventory is based on the 2006 Guidelines.</w:t>
      </w:r>
    </w:p>
    <w:p>
      <w:pPr>
        <w:pStyle w:val="Compact"/>
        <w:numPr>
          <w:ilvl w:val="0"/>
          <w:numId w:val="1010"/>
        </w:numPr>
      </w:pPr>
      <w:r>
        <w:t xml:space="preserve">: Adds four additional MMS types (anaerobic digester/biogas, aerobic treatment, solid storage covered/compacted, burned for fuel) and uses updated emission factors and N excretion equations from the 2019 Refinement. Choose this for inventories aligned with the 2019 Refinement.</w:t>
      </w:r>
    </w:p>
    <w:p>
      <w:pPr>
        <w:pStyle w:val="FirstParagraph"/>
      </w:pPr>
      <w:r>
        <w:t xml:space="preserve">The MMS dropdown in the downloaded template is automatically filtered to show only the manure systems valid for the version you selected.</w:t>
      </w:r>
    </w:p>
    <w:p>
      <w:pPr>
        <w:pStyle w:val="BodyText"/>
      </w:pPr>
      <w:r>
        <w:rPr>
          <w:b/>
          <w:bCs/>
        </w:rPr>
        <w:t xml:space="preserve">Step 2 — Download and fill in the template.</w:t>
      </w:r>
    </w:p>
    <w:p>
      <w:pPr>
        <w:pStyle w:val="Compact"/>
        <w:numPr>
          <w:ilvl w:val="0"/>
          <w:numId w:val="1011"/>
        </w:numPr>
      </w:pPr>
      <w:r>
        <w:t xml:space="preserve">Click</w:t>
      </w:r>
      <w:r>
        <w:t xml:space="preserve"> </w:t>
      </w:r>
      <w:r>
        <w:t xml:space="preserve">“Download Excel template”</w:t>
      </w:r>
      <w:r>
        <w:t xml:space="preserve"> </w:t>
      </w:r>
      <w:r>
        <w:t xml:space="preserve">to get the pre-formatted workbook</w:t>
      </w:r>
    </w:p>
    <w:p>
      <w:pPr>
        <w:pStyle w:val="Compact"/>
        <w:numPr>
          <w:ilvl w:val="0"/>
          <w:numId w:val="1011"/>
        </w:numPr>
      </w:pPr>
      <w:r>
        <w:t xml:space="preserve">Fill in the</w:t>
      </w:r>
      <w:r>
        <w:t xml:space="preserve"> </w:t>
      </w:r>
      <w:r>
        <w:rPr>
          <w:b/>
          <w:bCs/>
        </w:rPr>
        <w:t xml:space="preserve">Parameters</w:t>
      </w:r>
      <w:r>
        <w:t xml:space="preserve"> </w:t>
      </w:r>
      <w:r>
        <w:t xml:space="preserve">sheet following the structure in Section 2.3</w:t>
      </w:r>
    </w:p>
    <w:p>
      <w:pPr>
        <w:pStyle w:val="Compact"/>
        <w:numPr>
          <w:ilvl w:val="0"/>
          <w:numId w:val="1011"/>
        </w:numPr>
      </w:pPr>
      <w:r>
        <w:t xml:space="preserve">Fill in the</w:t>
      </w:r>
      <w:r>
        <w:t xml:space="preserve"> </w:t>
      </w:r>
      <w:r>
        <w:rPr>
          <w:b/>
          <w:bCs/>
        </w:rPr>
        <w:t xml:space="preserve">Manure_Management</w:t>
      </w:r>
      <w:r>
        <w:t xml:space="preserve"> </w:t>
      </w:r>
      <w:r>
        <w:t xml:space="preserve">sheet if you are running manure N</w:t>
      </w:r>
      <w:r>
        <w:t xml:space="preserve">O sources</w:t>
      </w:r>
    </w:p>
    <w:p>
      <w:pPr>
        <w:pStyle w:val="Compact"/>
        <w:numPr>
          <w:ilvl w:val="0"/>
          <w:numId w:val="1011"/>
        </w:numPr>
      </w:pPr>
      <w:r>
        <w:rPr>
          <w:i/>
          <w:iCs/>
        </w:rPr>
        <w:t xml:space="preserve">(Optional)</w:t>
      </w:r>
      <w:r>
        <w:t xml:space="preserve"> </w:t>
      </w:r>
      <w:r>
        <w:t xml:space="preserve">Fill in the</w:t>
      </w:r>
      <w:r>
        <w:t xml:space="preserve"> </w:t>
      </w:r>
      <w:r>
        <w:rPr>
          <w:b/>
          <w:bCs/>
        </w:rPr>
        <w:t xml:space="preserve">Parameter_TimeSeries</w:t>
      </w:r>
      <w:r>
        <w:t xml:space="preserve"> </w:t>
      </w:r>
      <w:r>
        <w:t xml:space="preserve">sheet if you want correlations computed automatically from historical data</w:t>
      </w:r>
    </w:p>
    <w:p>
      <w:pPr>
        <w:pStyle w:val="Compact"/>
        <w:numPr>
          <w:ilvl w:val="0"/>
          <w:numId w:val="1011"/>
        </w:numPr>
      </w:pPr>
      <w:r>
        <w:t xml:space="preserve">Save the file as .xlsx and upload it using the file picker</w:t>
      </w:r>
    </w:p>
    <w:p>
      <w:pPr>
        <w:pStyle w:val="FirstParagraph"/>
      </w:pPr>
      <w:r>
        <w:rPr>
          <w:b/>
          <w:bCs/>
        </w:rPr>
        <w:t xml:space="preserve">Step 3 — Review upload notifications.</w:t>
      </w:r>
    </w:p>
    <w:p>
      <w:pPr>
        <w:pStyle w:val="BodyText"/>
      </w:pPr>
      <w:r>
        <w:t xml:space="preserve">After a successful upload, a green notification confirms how many parameters were loaded. Any warnings appear as amber notifications.</w:t>
      </w:r>
    </w:p>
    <w:p>
      <w:pPr>
        <w:pStyle w:val="BodyText"/>
      </w:pPr>
      <w:r>
        <w:t xml:space="preserve"> </w:t>
      </w:r>
      <w:r>
        <w:t xml:space="preserve">If your upload does not include all required parameters, the tool will:</w:t>
      </w:r>
    </w:p>
    <w:p>
      <w:pPr>
        <w:pStyle w:val="BodyText"/>
      </w:pPr>
      <w:r>
        <w:t xml:space="preserve">You should review whether the IPCC defaults are appropriate for your country context and, where possible, supply country-specific values before your final simulation run.</w:t>
      </w:r>
    </w:p>
    <w:p>
      <w:pPr>
        <w:pStyle w:val="BodyText"/>
      </w:pPr>
    </w:p>
    <w:p>
      <w:r>
        <w:br w:type="page"/>
      </w:r>
    </w:p>
    <w:bookmarkEnd w:id="23"/>
    <w:bookmarkEnd w:id="24"/>
    <w:bookmarkStart w:id="28" w:name="reviewing-data-quality-tab-2-qaqc"/>
    <w:p>
      <w:pPr>
        <w:pStyle w:val="Heading1"/>
      </w:pPr>
      <w:r>
        <w:t xml:space="preserve">Reviewing data quality (Tab 2 — QA/QC)</w:t>
      </w:r>
    </w:p>
    <w:bookmarkStart w:id="25" w:name="what-the-qaqc-checks-do"/>
    <w:p>
      <w:pPr>
        <w:pStyle w:val="Heading2"/>
      </w:pPr>
      <w:r>
        <w:t xml:space="preserve">What the QA/QC checks do</w:t>
      </w:r>
    </w:p>
    <w:p>
      <w:pPr>
        <w:pStyle w:val="FirstParagraph"/>
      </w:pPr>
      <w:r>
        <w:t xml:space="preserve">The QA/QC tab runs automated checks on your parameter values and flags any that are potentially problematic. Five statuses are possible:</w:t>
      </w:r>
    </w:p>
    <w:p>
      <w:pPr>
        <w:pStyle w:val="BodyText"/>
      </w:pPr>
      <w:r>
        <w:t xml:space="preserve"> </w:t>
      </w:r>
      <w:r>
        <w:t xml:space="preserve">The deviation check is applied</w:t>
      </w:r>
      <w:r>
        <w:t xml:space="preserve"> </w:t>
      </w:r>
      <w:r>
        <w:t xml:space="preserve"> </w:t>
      </w:r>
      <w:r>
        <w:t xml:space="preserve">— the one parameter for which the tool keeps a defensible continental IPCC table lookup (Annex Tables 10A.1 dairy / 10A.2 non-dairy / 10A.3 buffalo). Milk, MW, DE, Ym, Bo no longer fire benchmark warnings — the 2019 Refinement publishes these by production system rather than continent, so any single mid-point comparison was misleading. They are still pre-filled with IPCC defaults when missing (flagged</w:t>
      </w:r>
      <w:r>
        <w:t xml:space="preserve"> </w:t>
      </w:r>
      <w:r>
        <w:t xml:space="preserve">), they just no longer raise</w:t>
      </w:r>
      <w:r>
        <w:t xml:space="preserve"> </w:t>
      </w:r>
      <w:r>
        <w:t xml:space="preserve"> </w:t>
      </w:r>
      <w:r>
        <w:t xml:space="preserve">purely for differing from a heuristic mid-point.</w:t>
      </w:r>
    </w:p>
    <w:p>
      <w:pPr>
        <w:pStyle w:val="BodyText"/>
      </w:pPr>
      <w:r>
        <w:t xml:space="preserve"> </w:t>
      </w:r>
      <w:r>
        <w:t xml:space="preserve">If a Parameters-sheet</w:t>
      </w:r>
      <w:r>
        <w:t xml:space="preserve"> </w:t>
      </w:r>
      <w:r>
        <w:t xml:space="preserve"> </w:t>
      </w:r>
      <w:r>
        <w:t xml:space="preserve">(e.g. </w:t>
      </w:r>
      <w:r>
        <w:t xml:space="preserve">) has no exact match in the Manure_Management sheet but</w:t>
      </w:r>
      <w:r>
        <w:t xml:space="preserve"> </w:t>
      </w:r>
      <w:r>
        <w:t xml:space="preserve"> </w:t>
      </w:r>
      <w:r>
        <w:t xml:space="preserve">close to exactly one Manure_Management sub-category (e.g. </w:t>
      </w:r>
      <w:r>
        <w:t xml:space="preserve">, edit distance</w:t>
      </w:r>
      <w:r>
        <w:t xml:space="preserve"> </w:t>
      </w:r>
      <m:oMath>
        <m:r>
          <m:rPr>
            <m:sty m:val="p"/>
          </m:rPr>
          <m:t>≤</m:t>
        </m:r>
        <m:r>
          <m:t>2</m:t>
        </m:r>
      </m:oMath>
      <w:r>
        <w:t xml:space="preserve">), the tool auto-matches them and emits a</w:t>
      </w:r>
      <w:r>
        <w:t xml:space="preserve"> </w:t>
      </w:r>
      <w:r>
        <w:t xml:space="preserve"> </w:t>
      </w:r>
      <w:r>
        <w:t xml:space="preserve">row labelled</w:t>
      </w:r>
      <w:r>
        <w:t xml:space="preserve"> </w:t>
      </w:r>
      <w:r>
        <w:t xml:space="preserve"> </w:t>
      </w:r>
      <w:r>
        <w:t xml:space="preserve">so you can verify the substitution. If multiple candidates match, the run is blocked with a clear error.</w:t>
      </w:r>
    </w:p>
    <w:bookmarkEnd w:id="25"/>
    <w:bookmarkStart w:id="26" w:name="what-to-do-for-each-status"/>
    <w:p>
      <w:pPr>
        <w:pStyle w:val="Heading2"/>
      </w:pPr>
      <w:r>
        <w:t xml:space="preserve">What to do for each status</w:t>
      </w:r>
    </w:p>
    <w:p>
      <w:pPr>
        <w:pStyle w:val="FirstParagraph"/>
      </w:pPr>
      <w:r>
        <w:t xml:space="preserve">: No action needed. The value is within ±50% of the IPCC default for the parameter (Vol.4 Ch.10 / Ch.11).</w:t>
      </w:r>
    </w:p>
    <w:p>
      <w:pPr>
        <w:pStyle w:val="BodyText"/>
      </w:pPr>
      <w:r>
        <w:t xml:space="preserve">: The value deviates 50–200% from the IPCC default</w:t>
      </w:r>
      <w:r>
        <w:t xml:space="preserve"> </w:t>
      </w:r>
      <w:r>
        <w:t xml:space="preserve">, or another non-fatal QA condition fired (e.g. asymmetric-bounds reminder for EF</w:t>
      </w:r>
      <w:r>
        <w:t xml:space="preserve">/Frac_GASM_PRP/Frac_LEACH_PRP, sub-category auto-match). Possible actions:</w:t>
      </w:r>
    </w:p>
    <w:p>
      <w:pPr>
        <w:pStyle w:val="BodyText"/>
      </w:pPr>
      <w:r>
        <w:t xml:space="preserve">: The value deviates more than 200% from the IPCC default. Most often this means a data-entry error (e.g. a live weight of 50,000 kg, a DE% of 150%). Correct the value before proceeding.</w:t>
      </w:r>
    </w:p>
    <w:p>
      <w:pPr>
        <w:pStyle w:val="BodyText"/>
      </w:pPr>
      <w:r>
        <w:t xml:space="preserve">: A required parameter was not found in the upload. The tool has auto-filled it with the IPCC default value from PARAM_CATALOGUE (the value and the IPCC equation/table source are shown in the Tab 1 notification). Review whether the default is appropriate for your country context and, where possible, replace it with country-specific data.</w:t>
      </w:r>
    </w:p>
    <w:bookmarkEnd w:id="26"/>
    <w:bookmarkStart w:id="27" w:name="documenting-deviations"/>
    <w:p>
      <w:pPr>
        <w:pStyle w:val="Heading2"/>
      </w:pPr>
      <w:r>
        <w:t xml:space="preserve">Documenting deviations</w:t>
      </w:r>
    </w:p>
    <w:p>
      <w:pPr>
        <w:pStyle w:val="FirstParagraph"/>
      </w:pPr>
      <w:r>
        <w:t xml:space="preserve">For any Warn or Info flags where you are deliberately using a country-specific value that deviates from the default, document the justification in your national inventory report. IPCC expert reviewers will look for this documentation.</w:t>
      </w:r>
    </w:p>
    <w:p>
      <w:r>
        <w:br w:type="page"/>
      </w:r>
    </w:p>
    <w:bookmarkEnd w:id="27"/>
    <w:bookmarkEnd w:id="28"/>
    <w:bookmarkStart w:id="31" w:name="Xf2498949195d70a17f273cecd55e747eb1386c9"/>
    <w:p>
      <w:pPr>
        <w:pStyle w:val="Heading1"/>
      </w:pPr>
      <w:r>
        <w:t xml:space="preserve">Reviewing uncertainty distributions (Tab 3 — Uncertainty)</w:t>
      </w:r>
    </w:p>
    <w:bookmarkStart w:id="29" w:name="the-parameter-table"/>
    <w:p>
      <w:pPr>
        <w:pStyle w:val="Heading2"/>
      </w:pPr>
      <w:r>
        <w:t xml:space="preserve">The parameter table</w:t>
      </w:r>
    </w:p>
    <w:p>
      <w:pPr>
        <w:pStyle w:val="FirstParagraph"/>
      </w:pPr>
      <w:r>
        <w:t xml:space="preserve">Tab 3 shows all parameters loaded from your data as an editable table. Each row shows:</w:t>
      </w:r>
    </w:p>
    <w:p>
      <w:pPr>
        <w:pStyle w:val="BodyText"/>
      </w:pPr>
      <w:r>
        <w:t xml:space="preserve">You can edit values directly in the table. Clicking a cell opens an edit field.</w:t>
      </w:r>
    </w:p>
    <w:bookmarkEnd w:id="29"/>
    <w:bookmarkStart w:id="30" w:name="quick-set-buttons"/>
    <w:p>
      <w:pPr>
        <w:pStyle w:val="Heading2"/>
      </w:pPr>
      <w:r>
        <w:t xml:space="preserve">Quick-set buttons</w:t>
      </w:r>
    </w:p>
    <w:p>
      <w:pPr>
        <w:pStyle w:val="FirstParagraph"/>
      </w:pPr>
      <w:r>
        <w:t xml:space="preserve">Two quick-set buttons are available for rapid exploration:</w:t>
      </w:r>
    </w:p>
    <w:p>
      <w:pPr>
        <w:pStyle w:val="BodyText"/>
      </w:pPr>
      <w:r>
        <w:t xml:space="preserve">These are useful for a first exploratory run. Refine individual parameters before your final analysis.</w:t>
      </w:r>
    </w:p>
    <w:p>
      <w:r>
        <w:br w:type="page"/>
      </w:r>
    </w:p>
    <w:bookmarkEnd w:id="30"/>
    <w:bookmarkEnd w:id="31"/>
    <w:bookmarkStart w:id="39" w:name="correlations-tab-4-correlations"/>
    <w:p>
      <w:pPr>
        <w:pStyle w:val="Heading1"/>
      </w:pPr>
      <w:r>
        <w:t xml:space="preserve">Correlations (Tab 4 — Correlations)</w:t>
      </w:r>
    </w:p>
    <w:bookmarkStart w:id="32" w:name="why-correlations-matter"/>
    <w:p>
      <w:pPr>
        <w:pStyle w:val="Heading2"/>
      </w:pPr>
      <w:r>
        <w:t xml:space="preserve">Why correlations matter</w:t>
      </w:r>
    </w:p>
    <w:p>
      <w:pPr>
        <w:pStyle w:val="FirstParagraph"/>
      </w:pPr>
      <w:r>
        <w:t xml:space="preserve">If multiple parameters tend to move together (e.g. larger animals also tend to produce more milk), ignoring this relationship underestimates the uncertainty in the total emission estimate. For most Tier 2 analyses, ignoring correlations (the default</w:t>
      </w:r>
      <w:r>
        <w:t xml:space="preserve"> </w:t>
      </w:r>
      <w:r>
        <w:t xml:space="preserve">“No correlations”</w:t>
      </w:r>
      <w:r>
        <w:t xml:space="preserve"> </w:t>
      </w:r>
      <w:r>
        <w:t xml:space="preserve">setting) is a reasonable simplifying assumption. IPCC Approach 2 guidance recommends including known correlations where they exist.</w:t>
      </w:r>
    </w:p>
    <w:bookmarkEnd w:id="32"/>
    <w:bookmarkStart w:id="33" w:name="quick-guide-which-option-do-i-pick"/>
    <w:p>
      <w:pPr>
        <w:pStyle w:val="Heading2"/>
      </w:pPr>
      <w:r>
        <w:t xml:space="preserve">Quick guide — which option do I pick?</w:t>
      </w:r>
    </w:p>
    <w:p>
      <w:pPr>
        <w:pStyle w:val="FirstParagraph"/>
      </w:pPr>
      <w:r>
        <w:t xml:space="preserve"> </w:t>
      </w:r>
      <w:r>
        <w:t xml:space="preserve">If a mode would have nothing to work with — e.g. </w:t>
      </w:r>
      <w:r>
        <w:rPr>
          <w:rStyle w:val="VerbatimChar"/>
        </w:rPr>
        <w:t xml:space="preserve">From template'' when your \texttt{Parameter\_TimeSeries} sheet is empty, or</w:t>
      </w:r>
      <w:r>
        <w:t xml:space="preserve">Advanced — manual entry’’ before you’ve uploaded a CSV — the radio choice appears greyed out with a short note explaining why. The tool also blocks the Run button with an explicit error if a no-data mode is somehow selected.</w:t>
      </w:r>
    </w:p>
    <w:bookmarkEnd w:id="33"/>
    <w:bookmarkStart w:id="34" w:name="Xe3904adf1a8d3f19911bbbf624a07a59ad2013f"/>
    <w:p>
      <w:pPr>
        <w:pStyle w:val="Heading2"/>
      </w:pPr>
      <w:r>
        <w:t xml:space="preserve">What change in the result should I expect?</w:t>
      </w:r>
    </w:p>
    <w:p>
      <w:pPr>
        <w:pStyle w:val="FirstParagraph"/>
      </w:pPr>
      <w:r>
        <w:t xml:space="preserve">The central emission estimate is essentially unchanged regardless of which mode you pick — correlations preserve marginal means by construction. What changes is the</w:t>
      </w:r>
      <w:r>
        <w:t xml:space="preserve"> </w:t>
      </w:r>
      <w:r>
        <w:t xml:space="preserve">. As a rule of thumb, on a typical single-year cattle inventory:</w:t>
      </w:r>
    </w:p>
    <w:p>
      <w:pPr>
        <w:pStyle w:val="BodyText"/>
      </w:pPr>
      <w:r>
        <w:t xml:space="preserve">If you select correlations and the result barely changes, that is usually expected, not a bug — the IPCC equation chain multiplies around 13 parameters together, which dilutes the effect of any single correlated pair. See the Methodology document for the underlying mathematics.</w:t>
      </w:r>
    </w:p>
    <w:bookmarkEnd w:id="34"/>
    <w:bookmarkStart w:id="35" w:name="X9fbe3bf0ed716b849148a0169f61d962391b056"/>
    <w:p>
      <w:pPr>
        <w:pStyle w:val="Heading2"/>
      </w:pPr>
      <w:r>
        <w:t xml:space="preserve">Automatic correlations from time-series data</w:t>
      </w:r>
    </w:p>
    <w:p>
      <w:pPr>
        <w:pStyle w:val="FirstParagraph"/>
      </w:pPr>
      <w:r>
        <w:t xml:space="preserve">If you included a Parameter_TimeSeries sheet in your upload, the tool can compute historical correlations automatically:</w:t>
      </w:r>
    </w:p>
    <w:bookmarkEnd w:id="35"/>
    <w:bookmarkStart w:id="36" w:name="manual-correlation-matrix"/>
    <w:p>
      <w:pPr>
        <w:pStyle w:val="Heading2"/>
      </w:pPr>
      <w:r>
        <w:t xml:space="preserve">Manual correlation matrix</w:t>
      </w:r>
    </w:p>
    <w:p>
      <w:pPr>
        <w:pStyle w:val="FirstParagraph"/>
      </w:pPr>
      <w:r>
        <w:t xml:space="preserve">If you prefer to specify correlations manually:</w:t>
      </w:r>
    </w:p>
    <w:bookmarkEnd w:id="36"/>
    <w:bookmarkStart w:id="37" w:name="structural-defaults-expert-elicited"/>
    <w:p>
      <w:pPr>
        <w:pStyle w:val="Heading2"/>
      </w:pPr>
      <w:r>
        <w:t xml:space="preserve">Structural defaults (expert-elicited)</w:t>
      </w:r>
    </w:p>
    <w:p>
      <w:pPr>
        <w:pStyle w:val="FirstParagraph"/>
      </w:pPr>
      <w:r>
        <w:t xml:space="preserve">A built-in preset of structural defaults is available. It applies the following well-documented pairs, drawn from the IPCC equations and the livestock literature.</w:t>
      </w:r>
      <w:r>
        <w:t xml:space="preserve"> </w:t>
      </w:r>
      <w:r>
        <w:t xml:space="preserve"> </w:t>
      </w:r>
      <w:r>
        <w:t xml:space="preserve">Hover any non-zero cell in the heatmap for the per-pair source citation.</w:t>
      </w:r>
    </w:p>
    <w:p>
      <w:pPr>
        <w:pStyle w:val="BodyText"/>
      </w:pPr>
      <w:r>
        <w:t xml:space="preserve">All other pairs are set to zero.</w:t>
      </w:r>
    </w:p>
    <w:p>
      <w:pPr>
        <w:pStyle w:val="BodyText"/>
      </w:pPr>
      <w:r>
        <w:t xml:space="preserve"> </w:t>
      </w:r>
      <w:r>
        <w:t xml:space="preserve">A previously included N</w:t>
      </w:r>
      <w:r>
        <w:t xml:space="preserve"> </w:t>
      </w:r>
      <m:oMath>
        <m:r>
          <m:rPr>
            <m:sty m:val="p"/>
          </m:rPr>
          <m:t>↔</m:t>
        </m:r>
      </m:oMath>
      <w:r>
        <w:t xml:space="preserve"> </w:t>
      </w:r>
      <w:r>
        <w:t xml:space="preserve">BW</w:t>
      </w:r>
      <w:r>
        <w:t xml:space="preserve"> </w:t>
      </w:r>
      <m:oMath>
        <m:r>
          <m:rPr>
            <m:sty m:val="p"/>
          </m:rPr>
          <m:t>=</m:t>
        </m:r>
        <m:r>
          <m:t>0.30</m:t>
        </m:r>
      </m:oMath>
      <w:r>
        <w:t xml:space="preserve"> </w:t>
      </w:r>
      <w:r>
        <w:t xml:space="preserve">pair was removed (no defensible cross-country source); DE</w:t>
      </w:r>
      <w:r>
        <w:t xml:space="preserve"> </w:t>
      </w:r>
      <m:oMath>
        <m:r>
          <m:rPr>
            <m:sty m:val="p"/>
          </m:rPr>
          <m:t>↔</m:t>
        </m:r>
      </m:oMath>
      <w:r>
        <w:t xml:space="preserve"> </w:t>
      </w:r>
      <w:r>
        <w:t xml:space="preserve">Ym is set to</w:t>
      </w:r>
      <w:r>
        <w:t xml:space="preserve"> </w:t>
      </w:r>
      <m:oMath>
        <m:r>
          <m:rPr>
            <m:sty m:val="p"/>
          </m:rPr>
          <m:t>−</m:t>
        </m:r>
        <m:r>
          <m:t>0.50</m:t>
        </m:r>
      </m:oMath>
      <w:r>
        <w:t xml:space="preserve"> </w:t>
      </w:r>
      <w:r>
        <w:t xml:space="preserve">rather than</w:t>
      </w:r>
      <w:r>
        <w:t xml:space="preserve"> </w:t>
      </w:r>
      <m:oMath>
        <m:r>
          <m:rPr>
            <m:sty m:val="p"/>
          </m:rPr>
          <m:t>−</m:t>
        </m:r>
        <m:r>
          <m:t>0.40</m:t>
        </m:r>
      </m:oMath>
      <w:r>
        <w:t xml:space="preserve"> </w:t>
      </w:r>
      <w:r>
        <w:t xml:space="preserve">(cross-diet meta-analyses); Cfi</w:t>
      </w:r>
      <w:r>
        <w:t xml:space="preserve"> </w:t>
      </w:r>
      <m:oMath>
        <m:r>
          <m:rPr>
            <m:sty m:val="p"/>
          </m:rPr>
          <m:t>↔</m:t>
        </m:r>
      </m:oMath>
      <w:r>
        <w:t xml:space="preserve"> </w:t>
      </w:r>
      <w:r>
        <w:t xml:space="preserve">Ca is set to</w:t>
      </w:r>
      <w:r>
        <w:t xml:space="preserve"> </w:t>
      </w:r>
      <m:oMath>
        <m:r>
          <m:t>0.30</m:t>
        </m:r>
      </m:oMath>
      <w:r>
        <w:t xml:space="preserve"> </w:t>
      </w:r>
      <w:r>
        <w:t xml:space="preserve">rather than</w:t>
      </w:r>
      <w:r>
        <w:t xml:space="preserve"> </w:t>
      </w:r>
      <m:oMath>
        <m:r>
          <m:t>0.60</m:t>
        </m:r>
      </m:oMath>
      <w:r>
        <w:t xml:space="preserve"> </w:t>
      </w:r>
      <w:r>
        <w:t xml:space="preserve">(Cfi and Ca are independent inputs in IPCC Eq 10.3 / 10.4); BW</w:t>
      </w:r>
      <w:r>
        <w:t xml:space="preserve"> </w:t>
      </w:r>
      <m:oMath>
        <m:r>
          <m:rPr>
            <m:sty m:val="p"/>
          </m:rPr>
          <m:t>↔</m:t>
        </m:r>
      </m:oMath>
      <w:r>
        <w:t xml:space="preserve"> </w:t>
      </w:r>
      <w:r>
        <w:t xml:space="preserve">MW is set to</w:t>
      </w:r>
      <w:r>
        <w:t xml:space="preserve"> </w:t>
      </w:r>
      <m:oMath>
        <m:r>
          <m:t>0.50</m:t>
        </m:r>
      </m:oMath>
      <w:r>
        <w:t xml:space="preserve"> </w:t>
      </w:r>
      <w:r>
        <w:t xml:space="preserve">rather than</w:t>
      </w:r>
      <w:r>
        <w:t xml:space="preserve"> </w:t>
      </w:r>
      <m:oMath>
        <m:r>
          <m:t>0.85</m:t>
        </m:r>
      </m:oMath>
      <w:r>
        <w:t xml:space="preserve"> </w:t>
      </w:r>
      <w:r>
        <w:t xml:space="preserve">(typical mixed-source data provenance); two cross-group dairy pairs (Milk</w:t>
      </w:r>
      <w:r>
        <w:t xml:space="preserve"> </w:t>
      </w:r>
      <m:oMath>
        <m:r>
          <m:rPr>
            <m:sty m:val="p"/>
          </m:rPr>
          <m:t>↔</m:t>
        </m:r>
      </m:oMath>
      <w:r>
        <w:t xml:space="preserve"> </w:t>
      </w:r>
      <w:r>
        <w:t xml:space="preserve">BW and Milk</w:t>
      </w:r>
      <w:r>
        <w:t xml:space="preserve"> </w:t>
      </w:r>
      <m:oMath>
        <m:r>
          <m:rPr>
            <m:sty m:val="p"/>
          </m:rPr>
          <m:t>↔</m:t>
        </m:r>
      </m:oMath>
      <w:r>
        <w:t xml:space="preserve"> </w:t>
      </w:r>
      <w:r>
        <w:t xml:space="preserve">DE) were added; Milk</w:t>
      </w:r>
      <w:r>
        <w:t xml:space="preserve"> </w:t>
      </w:r>
      <m:oMath>
        <m:r>
          <m:rPr>
            <m:sty m:val="p"/>
          </m:rPr>
          <m:t>↔</m:t>
        </m:r>
      </m:oMath>
      <w:r>
        <w:t xml:space="preserve"> </w:t>
      </w:r>
      <w:r>
        <w:t xml:space="preserve">pct_pregnant is not included (sign ambiguous).</w:t>
      </w:r>
    </w:p>
    <w:bookmarkEnd w:id="37"/>
    <w:bookmarkStart w:id="38" w:name="coefficient-emission-factor-correlations"/>
    <w:p>
      <w:pPr>
        <w:pStyle w:val="Heading2"/>
      </w:pPr>
      <w:r>
        <w:t xml:space="preserve">Coefficient (emission factor) correlations</w:t>
      </w:r>
    </w:p>
    <w:p>
      <w:pPr>
        <w:pStyle w:val="FirstParagraph"/>
      </w:pPr>
      <w:r>
        <w:t xml:space="preserve">The right-hand card on Tab~4 controls correlations</w:t>
      </w:r>
      <w:r>
        <w:t xml:space="preserve"> </w:t>
      </w:r>
      <w:r>
        <w:t xml:space="preserve"> </w:t>
      </w:r>
      <w:r>
        <w:t xml:space="preserve">the per-head IPCC coefficients (Cfi, Ca, Ym, Bo, MCF, EF3, EF4, EF5, …). Two modes are available:</w:t>
      </w:r>
    </w:p>
    <w:p>
      <w:pPr>
        <w:pStyle w:val="BodyText"/>
      </w:pPr>
    </w:p>
    <w:p>
      <w:r>
        <w:br w:type="page"/>
      </w:r>
    </w:p>
    <w:bookmarkEnd w:id="38"/>
    <w:bookmarkEnd w:id="39"/>
    <w:bookmarkStart w:id="44" w:name="running-the-simulation-tab-5-simulate"/>
    <w:p>
      <w:pPr>
        <w:pStyle w:val="Heading1"/>
      </w:pPr>
      <w:r>
        <w:t xml:space="preserve">Running the simulation (Tab 5 — Simulate)</w:t>
      </w:r>
    </w:p>
    <w:bookmarkStart w:id="40" w:name="settings"/>
    <w:p>
      <w:pPr>
        <w:pStyle w:val="Heading2"/>
      </w:pPr>
      <w:r>
        <w:t xml:space="preserve">Settings</w:t>
      </w:r>
    </w:p>
    <w:p>
      <w:pPr>
        <w:pStyle w:val="FirstParagraph"/>
      </w:pPr>
      <w:r>
        <w:t xml:space="preserve">Before clicking Run, configure:</w:t>
      </w:r>
    </w:p>
    <w:p>
      <w:pPr>
        <w:pStyle w:val="BodyText"/>
      </w:pPr>
      <w:r>
        <w:t xml:space="preserve">: The number of Monte Carlo samples.</w:t>
      </w:r>
    </w:p>
    <w:p>
      <w:pPr>
        <w:pStyle w:val="BodyText"/>
      </w:pPr>
      <w:r>
        <w:t xml:space="preserve">: Choose between AR5 (CH</w:t>
      </w:r>
      <w:r>
        <w:t xml:space="preserve"> </w:t>
      </w:r>
      <w:r>
        <w:t xml:space="preserve">GWP = 28, N</w:t>
      </w:r>
      <w:r>
        <w:t xml:space="preserve">O = 265) and AR6 (CH</w:t>
      </w:r>
      <w:r>
        <w:t xml:space="preserve"> </w:t>
      </w:r>
      <w:r>
        <w:t xml:space="preserve">GWP = 27.9, N</w:t>
      </w:r>
      <w:r>
        <w:t xml:space="preserve">O = 273). Select the version required by your national inventory reporting guidelines.</w:t>
      </w:r>
    </w:p>
    <w:p>
      <w:pPr>
        <w:pStyle w:val="BodyText"/>
      </w:pPr>
      <w:r>
        <w:t xml:space="preserve">: Fixing the seed ensures results are exactly reproducible. Change the seed to verify convergence: if the 95% CI changes substantially between runs, increase the number of iterations.</w:t>
      </w:r>
    </w:p>
    <w:p>
      <w:pPr>
        <w:pStyle w:val="BodyText"/>
      </w:pPr>
      <w:r>
        <w:t xml:space="preserve">: Single-year (most common) or Trend (multi-year time series).</w:t>
      </w:r>
    </w:p>
    <w:p>
      <w:pPr>
        <w:pStyle w:val="BodyText"/>
      </w:pPr>
      <w:r>
        <w:t xml:space="preserve">: Tick all sources applicable to your inventory. Unticked sources contribute zero emissions to the total.</w:t>
      </w:r>
    </w:p>
    <w:bookmarkEnd w:id="40"/>
    <w:bookmarkStart w:id="41" w:name="X18e631fcb5b21c13cd2a1ff2b22c533ae0ca5c3"/>
    <w:p>
      <w:pPr>
        <w:pStyle w:val="Heading2"/>
      </w:pPr>
      <w:r>
        <w:t xml:space="preserve">Trend mode — year-to-year coefficient correlation</w:t>
      </w:r>
    </w:p>
    <w:p>
      <w:pPr>
        <w:pStyle w:val="FirstParagraph"/>
      </w:pPr>
      <w:r>
        <w:t xml:space="preserve">If you picked</w:t>
      </w:r>
      <w:r>
        <w:t xml:space="preserve"> </w:t>
      </w:r>
      <w:r>
        <w:t xml:space="preserve"> </w:t>
      </w:r>
      <w:r>
        <w:t xml:space="preserve">analysis mode on Tab 1, an extra control appears on Tab 5:</w:t>
      </w:r>
      <w:r>
        <w:t xml:space="preserve"> </w:t>
      </w:r>
      <w:r>
        <w:t xml:space="preserve">. It governs how the IPCC coefficients (Cfi, Ca, Ym, Bo, MCF, EF3, EF4, EF5,</w:t>
      </w:r>
      <w:r>
        <w:t xml:space="preserve"> </w:t>
      </w:r>
      <w:r>
        <w:t xml:space="preserve">) move from one year to the next</w:t>
      </w:r>
      <w:r>
        <w:t xml:space="preserve"> </w:t>
      </w:r>
      <w:r>
        <w:t xml:space="preserve">. Activity data (N, BW, Milk,</w:t>
      </w:r>
      <w:r>
        <w:t xml:space="preserve"> </w:t>
      </w:r>
      <w:r>
        <w:t xml:space="preserve">) is always re-sampled fresh each year — this setting only affects the per-head coefficients.</w:t>
      </w:r>
    </w:p>
    <w:p>
      <w:pPr>
        <w:pStyle w:val="BodyText"/>
      </w:pPr>
      <w:r>
        <w:t xml:space="preserve"> </w:t>
      </w:r>
      <w:r>
        <w:t xml:space="preserve">If your country uses the same emission factors for the whole inventory series (the typical case — either IPCC defaults or one national estimation), then a high-Ym draw in your base year should also be a high-Ym draw in the current year. The coefficient uncertainty then cancels when you compare the two years, so the trend uncertainty reflects only the activity-data changes. This is what IPCC V1 Ch3 §3.2.3 calls a ``Type A’’ sensitivity. If you instead treated EFs as independent across years, you would artificially inflate the trend uncertainty.</w:t>
      </w:r>
    </w:p>
    <w:p>
      <w:pPr>
        <w:pStyle w:val="BodyText"/>
      </w:pPr>
      <w:r>
        <w:t xml:space="preserve">The three options:</w:t>
      </w:r>
    </w:p>
    <w:p>
      <w:pPr>
        <w:pStyle w:val="BodyText"/>
      </w:pPr>
      <w:r>
        <w:t xml:space="preserve">A practical sanity check: re-run your trend with</w:t>
      </w:r>
      <w:r>
        <w:t xml:space="preserve"> </w:t>
      </w:r>
      <w:r>
        <w:rPr>
          <w:rStyle w:val="VerbatimChar"/>
        </w:rPr>
        <w:t xml:space="preserve">Fully correlated'' and again with</w:t>
      </w:r>
      <w:r>
        <w:t xml:space="preserve">Independent’’. If the two trend uncertainties are similar, your result is robust to this choice. If they are very different, your trend uncertainty is dominated by the EF block and you need to be explicit about which assumption you’re making in your inventory documentation.</w:t>
      </w:r>
    </w:p>
    <w:p>
      <w:pPr>
        <w:pStyle w:val="BodyText"/>
      </w:pPr>
      <w:r>
        <w:t xml:space="preserve"> </w:t>
      </w:r>
      <w:r>
        <w:t xml:space="preserve">, so total compute = n_iter</w:t>
      </w:r>
      <w:r>
        <w:t xml:space="preserve"> </w:t>
      </w:r>
      <m:oMath>
        <m:r>
          <m:rPr>
            <m:sty m:val="p"/>
          </m:rPr>
          <m:t>×</m:t>
        </m:r>
      </m:oMath>
      <w:r>
        <w:t xml:space="preserve"> </w:t>
      </w:r>
      <w:r>
        <w:t xml:space="preserve">number of years. Use 5{,}000–10{,}000 iterations for trend runs in development and 25{,}000–30{,}000 for final reporting.</w:t>
      </w:r>
    </w:p>
    <w:bookmarkEnd w:id="41"/>
    <w:bookmarkStart w:id="42" w:name="running-the-simulation"/>
    <w:p>
      <w:pPr>
        <w:pStyle w:val="Heading2"/>
      </w:pPr>
      <w:r>
        <w:t xml:space="preserve">Running the simulation</w:t>
      </w:r>
    </w:p>
    <w:p>
      <w:pPr>
        <w:pStyle w:val="FirstParagraph"/>
      </w:pPr>
      <w:r>
        <w:t xml:space="preserve">Click</w:t>
      </w:r>
      <w:r>
        <w:t xml:space="preserve"> </w:t>
      </w:r>
      <w:r>
        <w:t xml:space="preserve">. A progress bar shows the simulation steps. For 10,000 iterations and a single production system, typical run time is 15–60 seconds.</w:t>
      </w:r>
    </w:p>
    <w:p>
      <w:pPr>
        <w:pStyle w:val="BodyText"/>
      </w:pPr>
      <w:r>
        <w:t xml:space="preserve">When complete, results appear in the lower section of the same tab.</w:t>
      </w:r>
    </w:p>
    <w:p>
      <w:pPr>
        <w:pStyle w:val="BodyText"/>
      </w:pPr>
      <w:r>
        <w:t xml:space="preserve">: All settings (iterations, GWP, seed, emission sources) remain active in the upper section of Tab 5 — simply adjust any setting and click</w:t>
      </w:r>
      <w:r>
        <w:t xml:space="preserve"> </w:t>
      </w:r>
      <w:r>
        <w:t xml:space="preserve"> </w:t>
      </w:r>
      <w:r>
        <w:t xml:space="preserve">again. The previous results are replaced automatically. If you need to change your input data (parameters, distributions, or correlations), go back to the relevant tab (Tab 1–4), make the change, then return to Tab 5 and re-run.</w:t>
      </w:r>
    </w:p>
    <w:bookmarkEnd w:id="42"/>
    <w:bookmarkStart w:id="43" w:name="convergence-diagnostics"/>
    <w:p>
      <w:pPr>
        <w:pStyle w:val="Heading2"/>
      </w:pPr>
      <w:r>
        <w:t xml:space="preserve">Convergence diagnostics</w:t>
      </w:r>
    </w:p>
    <w:p>
      <w:pPr>
        <w:pStyle w:val="FirstParagraph"/>
      </w:pPr>
      <w:r>
        <w:t xml:space="preserve">Click</w:t>
      </w:r>
      <w:r>
        <w:t xml:space="preserve"> </w:t>
      </w:r>
      <w:r>
        <w:t xml:space="preserve">“Run Diagnostic”</w:t>
      </w:r>
      <w:r>
        <w:t xml:space="preserve"> </w:t>
      </w:r>
      <w:r>
        <w:t xml:space="preserve">(magnifying glass button) after a simulation to assess whether enough iterations were run for stable results:</w:t>
      </w:r>
    </w:p>
    <w:p>
      <w:pPr>
        <w:pStyle w:val="BodyText"/>
      </w:pPr>
      <w:r>
        <w:t xml:space="preserve">Note: this tool uses</w:t>
      </w:r>
      <w:r>
        <w:t xml:space="preserve"> </w:t>
      </w:r>
      <w:r>
        <w:t xml:space="preserve">, not MCMC. Each iteration is drawn independently — there are no chains, no warmup, and no burn-in.</w:t>
      </w:r>
    </w:p>
    <w:p>
      <w:r>
        <w:br w:type="page"/>
      </w:r>
    </w:p>
    <w:bookmarkEnd w:id="43"/>
    <w:bookmarkEnd w:id="44"/>
    <w:bookmarkStart w:id="48" w:name="understanding-results-tab-5-results"/>
    <w:p>
      <w:pPr>
        <w:pStyle w:val="Heading1"/>
      </w:pPr>
      <w:r>
        <w:t xml:space="preserve">Understanding results (Tab 5 — Results)</w:t>
      </w:r>
    </w:p>
    <w:bookmarkStart w:id="45" w:name="headline-metrics"/>
    <w:p>
      <w:pPr>
        <w:pStyle w:val="Heading2"/>
      </w:pPr>
      <w:r>
        <w:t xml:space="preserve">Headline metrics</w:t>
      </w:r>
    </w:p>
    <w:p>
      <w:pPr>
        <w:pStyle w:val="FirstParagraph"/>
      </w:pPr>
      <w:r>
        <w:t xml:space="preserve">After a successful run, five value boxes show:</w:t>
      </w:r>
    </w:p>
    <w:p>
      <w:pPr>
        <w:pStyle w:val="BodyText"/>
      </w:pPr>
      <w:r>
        <w:t xml:space="preserve"> </w:t>
      </w:r>
      <w:r>
        <w:t xml:space="preserve">Directly below the value boxes, a</w:t>
      </w:r>
      <w:r>
        <w:t xml:space="preserve"> </w:t>
      </w:r>
      <w:r>
        <w:t xml:space="preserve">“Headline by cattle type”</w:t>
      </w:r>
      <w:r>
        <w:t xml:space="preserve"> </w:t>
      </w:r>
      <w:r>
        <w:t xml:space="preserve">card appears whenever your inventory contains more than one</w:t>
      </w:r>
      <w:r>
        <w:t xml:space="preserve"> </w:t>
      </w:r>
      <w:r>
        <w:t xml:space="preserve"> </w:t>
      </w:r>
      <w:r>
        <w:t xml:space="preserve">on the Parameters sheet (typically</w:t>
      </w:r>
      <w:r>
        <w:t xml:space="preserve"> </w:t>
      </w:r>
      <w:r>
        <w:t xml:space="preserve"> </w:t>
      </w:r>
      <w:r>
        <w:t xml:space="preserve">and</w:t>
      </w:r>
      <w:r>
        <w:t xml:space="preserve"> </w:t>
      </w:r>
      <w:r>
        <w:t xml:space="preserve">). It shows one row per cattle type with mean ± 95% MoE for each of the four headline sources plus the total CO</w:t>
      </w:r>
      <w:r>
        <w:t xml:space="preserve">eq. Single-cattle-type runs do not see this card.</w:t>
      </w:r>
    </w:p>
    <w:bookmarkEnd w:id="45"/>
    <w:bookmarkStart w:id="46" w:name="uncertainty-decomposition-ad-vs-ef"/>
    <w:p>
      <w:pPr>
        <w:pStyle w:val="Heading2"/>
      </w:pPr>
      <w:r>
        <w:t xml:space="preserve">Uncertainty decomposition (AD vs EF)</w:t>
      </w:r>
    </w:p>
    <w:p>
      <w:pPr>
        <w:pStyle w:val="FirstParagraph"/>
      </w:pPr>
      <w:r>
        <w:t xml:space="preserve">If</w:t>
      </w:r>
      <w:r>
        <w:t xml:space="preserve"> </w:t>
      </w:r>
      <w:r>
        <w:t xml:space="preserve">“Run uncertainty decomposition (AD/EF/Combined)”</w:t>
      </w:r>
      <w:r>
        <w:t xml:space="preserve"> </w:t>
      </w:r>
      <w:r>
        <w:t xml:space="preserve">was checked, the results include a bar chart with the 95% MoE on the y-axis (IPCC reporting convention) under three configurations:</w:t>
      </w:r>
    </w:p>
    <w:p>
      <w:pPr>
        <w:pStyle w:val="BodyText"/>
      </w:pPr>
      <w:r>
        <w:t xml:space="preserve">If AD uncertainty dominates, improving livestock population surveys would most effectively reduce total uncertainty. If EF uncertainty dominates, investing in country-specific EF measurement studies would be more impactful.</w:t>
      </w:r>
    </w:p>
    <w:bookmarkEnd w:id="46"/>
    <w:bookmarkStart w:id="47" w:name="by-system-and-by-category-breakdown"/>
    <w:p>
      <w:pPr>
        <w:pStyle w:val="Heading2"/>
      </w:pPr>
      <w:r>
        <w:t xml:space="preserve">By-system and by-category breakdown</w:t>
      </w:r>
    </w:p>
    <w:p>
      <w:r>
        <w:br w:type="page"/>
      </w:r>
    </w:p>
    <w:bookmarkEnd w:id="47"/>
    <w:bookmarkEnd w:id="48"/>
    <w:bookmarkStart w:id="51" w:name="sensitivity-analysis-tab-6"/>
    <w:p>
      <w:pPr>
        <w:pStyle w:val="Heading1"/>
      </w:pPr>
      <w:r>
        <w:t xml:space="preserve">Sensitivity analysis (Tab 6)</w:t>
      </w:r>
    </w:p>
    <w:bookmarkStart w:id="49" w:name="reading-the-tornado-chart"/>
    <w:p>
      <w:pPr>
        <w:pStyle w:val="Heading2"/>
      </w:pPr>
      <w:r>
        <w:t xml:space="preserve">Reading the tornado chart</w:t>
      </w:r>
    </w:p>
    <w:p>
      <w:pPr>
        <w:pStyle w:val="FirstParagraph"/>
      </w:pPr>
      <w:r>
        <w:t xml:space="preserve">The tornado chart ranks parameters by their contribution to total uncertainty. The longest bars indicate the parameters that, if better constrained, would most reduce the 95% CI.</w:t>
      </w:r>
    </w:p>
    <w:p>
      <w:pPr>
        <w:pStyle w:val="BodyText"/>
      </w:pPr>
      <w:r>
        <w:t xml:space="preserve">Each bar is labelled as</w:t>
      </w:r>
      <w:r>
        <w:t xml:space="preserve"> </w:t>
      </w:r>
      <w:r>
        <w:t xml:space="preserve"> </w:t>
      </w:r>
      <w:r>
        <w:t xml:space="preserve">— for example</w:t>
      </w:r>
      <w:r>
        <w:t xml:space="preserve"> </w:t>
      </w:r>
      <w:r>
        <w:t xml:space="preserve"> </w:t>
      </w:r>
      <w:r>
        <w:t xml:space="preserve">vs</w:t>
      </w:r>
      <w:r>
        <w:t xml:space="preserve"> </w:t>
      </w:r>
      <w:r>
        <w:t xml:space="preserve">. The sub-category in parentheses identifies which animal group the influential parameter belongs to, so you can target research at the specific sub-category driving uncertainty rather than at the parameter in general. The same labels appear in the rank-correlation table, the Excel SRC / PRCC sheets, and the Word report’s sensitivity section. Per-MMS sampled parameters carry their MMS in the parameter name and the sub-category in parentheses, e.g. </w:t>
      </w:r>
      <w:r>
        <w:t xml:space="preserve"> </w:t>
      </w:r>
      <w:r>
        <w:t xml:space="preserve">or</w:t>
      </w:r>
      <w:r>
        <w:t xml:space="preserve"> </w:t>
      </w:r>
      <w:r>
        <w:t xml:space="preserve">.</w:t>
      </w:r>
    </w:p>
    <w:p>
      <w:pPr>
        <w:pStyle w:val="BodyText"/>
      </w:pPr>
      <w:r>
        <w:t xml:space="preserve"> </w:t>
      </w:r>
      <w:r>
        <w:t xml:space="preserve">The</w:t>
      </w:r>
      <w:r>
        <w:t xml:space="preserve"> </w:t>
      </w:r>
      <w:r>
        <w:t xml:space="preserve">“Output”</w:t>
      </w:r>
      <w:r>
        <w:t xml:space="preserve"> </w:t>
      </w:r>
      <w:r>
        <w:t xml:space="preserve">dropdown above the tornado lets you re-rank parameters for a single emission source (Enteric CH</w:t>
      </w:r>
      <w:r>
        <w:t xml:space="preserve">, Manure CH</w:t>
      </w:r>
      <w:r>
        <w:t xml:space="preserve">, etc.). The per-source view aggregates across ALL sub-categories — earlier versions of the tool silently restricted the per-source view to the first sub-category only, dropping every other sub-category’s contribution; that has been fixed.</w:t>
      </w:r>
    </w:p>
    <w:p>
      <w:pPr>
        <w:pStyle w:val="BodyText"/>
      </w:pPr>
      <w:r>
        <w:t xml:space="preserve">Bars are coloured by reducibility:</w:t>
      </w:r>
    </w:p>
    <w:bookmarkEnd w:id="49"/>
    <w:bookmarkStart w:id="50" w:name="src-vs-prcc"/>
    <w:p>
      <w:pPr>
        <w:pStyle w:val="Heading2"/>
      </w:pPr>
      <w:r>
        <w:t xml:space="preserve">SRC vs PRCC</w:t>
      </w:r>
    </w:p>
    <w:p>
      <w:pPr>
        <w:pStyle w:val="FirstParagraph"/>
      </w:pPr>
      <w:r>
        <w:t xml:space="preserve">Two sensitivity methods are computed:</w:t>
      </w:r>
    </w:p>
    <w:p>
      <w:pPr>
        <w:pStyle w:val="BodyText"/>
      </w:pPr>
      <w:r>
        <w:t xml:space="preserve">Both are shown; they typically agree on the top-ranked parameters. If they disagree significantly, the emission pathway may be strongly non-linear.</w:t>
      </w:r>
    </w:p>
    <w:p>
      <w:r>
        <w:br w:type="page"/>
      </w:r>
    </w:p>
    <w:bookmarkEnd w:id="50"/>
    <w:bookmarkEnd w:id="51"/>
    <w:bookmarkStart w:id="54" w:name="X2ba54ca5884145abcad3c99bb30ed5bdc2bac4a"/>
    <w:p>
      <w:pPr>
        <w:pStyle w:val="Heading1"/>
      </w:pPr>
      <w:r>
        <w:t xml:space="preserve">Generating the IPCC report (Tab 7 — IPCC Report)</w:t>
      </w:r>
    </w:p>
    <w:bookmarkStart w:id="52" w:name="ipcc-table-3.3"/>
    <w:p>
      <w:pPr>
        <w:pStyle w:val="Heading2"/>
      </w:pPr>
      <w:r>
        <w:t xml:space="preserve">IPCC Table 3.3</w:t>
      </w:r>
    </w:p>
    <w:p>
      <w:pPr>
        <w:pStyle w:val="FirstParagraph"/>
      </w:pPr>
      <w:r>
        <w:t xml:space="preserve">The IPCC Report tab shows your results formatted as IPCC 2006 Vol. 1 Ch. 3 Table 3.3. The three uncertainty columns in the downloadable Excel sheet are now labelled explicitly so there is no ambiguity:</w:t>
      </w:r>
    </w:p>
    <w:p>
      <w:pPr>
        <w:pStyle w:val="BodyText"/>
      </w:pPr>
      <w:r>
        <w:t xml:space="preserve">: Following IPCC Table 3.3 conventions, all values are expressed as the half-width of the 95% confidence interval divided by the mean, multiplied by 100 — i.e. </w:t>
      </w:r>
      <w:r>
        <w:t xml:space="preserve">. CV (</w:t>
      </w:r>
      <w:r>
        <w:t xml:space="preserve">) is a different metric and is</w:t>
      </w:r>
      <w:r>
        <w:t xml:space="preserve"> </w:t>
      </w:r>
      <w:r>
        <w:t xml:space="preserve"> </w:t>
      </w:r>
      <w:r>
        <w:t xml:space="preserve">what IPCC Annex 7 expects in this column.</w:t>
      </w:r>
    </w:p>
    <w:p>
      <w:pPr>
        <w:pStyle w:val="BodyText"/>
      </w:pPr>
    </w:p>
    <w:bookmarkEnd w:id="52"/>
    <w:bookmarkStart w:id="53" w:name="downloads"/>
    <w:p>
      <w:pPr>
        <w:pStyle w:val="Heading2"/>
      </w:pPr>
      <w:r>
        <w:t xml:space="preserve">Downloads</w:t>
      </w:r>
    </w:p>
    <w:p>
      <w:pPr>
        <w:pStyle w:val="FirstParagraph"/>
      </w:pPr>
      <w:r>
        <w:t xml:space="preserve">Three download formats are available:</w:t>
      </w:r>
    </w:p>
    <w:p>
      <w:r>
        <w:br w:type="page"/>
      </w:r>
    </w:p>
    <w:bookmarkEnd w:id="53"/>
    <w:bookmarkEnd w:id="54"/>
    <w:bookmarkStart w:id="57" w:name="ipcc-reporting-conventions"/>
    <w:p>
      <w:pPr>
        <w:pStyle w:val="Heading1"/>
      </w:pPr>
      <w:r>
        <w:t xml:space="preserve">IPCC reporting conventions</w:t>
      </w:r>
    </w:p>
    <w:bookmarkStart w:id="55" w:name="X692dfd781b148508861911884c67f0528714cad"/>
    <w:p>
      <w:pPr>
        <w:pStyle w:val="Heading2"/>
      </w:pPr>
      <w:r>
        <w:t xml:space="preserve">Where uncertainty results go in the national inventory report</w:t>
      </w:r>
    </w:p>
    <w:p>
      <w:pPr>
        <w:pStyle w:val="FirstParagraph"/>
      </w:pPr>
      <w:r>
        <w:t xml:space="preserve">IPCC 2006 Vol. 1 Ch. 3 §3.3 describes the standard approach for Approach 2 (Monte Carlo):</w:t>
      </w:r>
    </w:p>
    <w:p>
      <w:pPr>
        <w:pStyle w:val="BodyText"/>
      </w:pPr>
      <w:r>
        <w:t xml:space="preserve">The methodology PDF (available on the Resources tab) provides a complete technical description of the equations, sampling approach, and convergence assessment that can be referenced in your national inventory report.</w:t>
      </w:r>
    </w:p>
    <w:bookmarkEnd w:id="55"/>
    <w:bookmarkStart w:id="56" w:name="what-ipcc-expert-reviewers-will-check"/>
    <w:p>
      <w:pPr>
        <w:pStyle w:val="Heading2"/>
      </w:pPr>
      <w:r>
        <w:t xml:space="preserve">What IPCC expert reviewers will check</w:t>
      </w:r>
    </w:p>
    <w:p>
      <w:pPr>
        <w:pStyle w:val="FirstParagraph"/>
      </w:pPr>
      <w:r>
        <w:t xml:space="preserve">Based on experience with IPCC expert reviews, reviewers typically focus on:</w:t>
      </w:r>
    </w:p>
    <w:p>
      <w:r>
        <w:br w:type="page"/>
      </w:r>
    </w:p>
    <w:bookmarkEnd w:id="56"/>
    <w:bookmarkEnd w:id="57"/>
    <w:bookmarkStart w:id="58" w:name="X53b8655afe9f6f962a77d331658f1061377ceb0"/>
    <w:p>
      <w:pPr>
        <w:pStyle w:val="Heading1"/>
      </w:pPr>
      <w:r>
        <w:t xml:space="preserve">Worked example — Country X (hypothetical dairy)</w:t>
      </w:r>
    </w:p>
    <w:p>
      <w:pPr>
        <w:pStyle w:val="FirstParagraph"/>
      </w:pPr>
      <w:r>
        <w:t xml:space="preserve">To illustrate the workflow, the following example uses the Country X built-in dataset.</w:t>
      </w:r>
    </w:p>
    <w:p>
      <w:pPr>
        <w:pStyle w:val="BodyText"/>
      </w:pPr>
      <w:r>
        <w:rPr>
          <w:b/>
          <w:bCs/>
        </w:rPr>
        <w:t xml:space="preserve">Step 1 — Load data</w:t>
      </w:r>
      <w:r>
        <w:t xml:space="preserve">: Select</w:t>
      </w:r>
      <w:r>
        <w:t xml:space="preserve"> </w:t>
      </w:r>
      <w:r>
        <w:t xml:space="preserve">“Country X (hypothetical dairy)”</w:t>
      </w:r>
      <w:r>
        <w:t xml:space="preserve"> </w:t>
      </w:r>
      <w:r>
        <w:t xml:space="preserve">from the dropdown on Tab 1. The data loads automatically (12 parameters, dairy smallholder system).</w:t>
      </w:r>
    </w:p>
    <w:p>
      <w:pPr>
        <w:pStyle w:val="BodyText"/>
      </w:pPr>
      <w:r>
        <w:rPr>
          <w:b/>
          <w:bCs/>
        </w:rPr>
        <w:t xml:space="preserve">Step 2 — QA/QC</w:t>
      </w:r>
      <w:r>
        <w:t xml:space="preserve">: Go to Tab 2. All parameters should pass; any Warn flags would compare against the IPCC 2019 Refinement defaults (Vol.4 Ch.10 / Ch.11), and a deliberate country-specific value can be documented in the inventory report rather than corrected.</w:t>
      </w:r>
    </w:p>
    <w:p>
      <w:pPr>
        <w:pStyle w:val="BodyText"/>
      </w:pPr>
      <w:r>
        <w:rPr>
          <w:b/>
          <w:bCs/>
        </w:rPr>
        <w:t xml:space="preserve">Step 3 — Uncertainty</w:t>
      </w:r>
      <w:r>
        <w:t xml:space="preserve">: Go to Tab 3. Note that activity data (N, BW, Milk, WG, Fat) use Normal distributions and coefficients (Ym, DE, Bo, etc.) use PERT or lognormal distributions.</w:t>
      </w:r>
    </w:p>
    <w:p>
      <w:pPr>
        <w:pStyle w:val="BodyText"/>
      </w:pPr>
      <w:r>
        <w:rPr>
          <w:b/>
          <w:bCs/>
        </w:rPr>
        <w:t xml:space="preserve">Step 4 — Correlations</w:t>
      </w:r>
      <w:r>
        <w:t xml:space="preserve">: Go to Tab 4. Select</w:t>
      </w:r>
      <w:r>
        <w:t xml:space="preserve"> </w:t>
      </w:r>
      <w:r>
        <w:t xml:space="preserve">“From template (auto, time-series)”</w:t>
      </w:r>
      <w:r>
        <w:t xml:space="preserve"> </w:t>
      </w:r>
      <w:r>
        <w:t xml:space="preserve">— the example dataset includes a 5-year time series from which a Spearman rank correlation matrix is computed automatically (first-difference detrending is applied internally to strip shared long-run growth). The matrix is sampled using Iman–Conover restricted pairing. Leave the right-hand card at</w:t>
      </w:r>
      <w:r>
        <w:t xml:space="preserve"> </w:t>
      </w:r>
      <w:r>
        <w:t xml:space="preserve">“No EF correlations”</w:t>
      </w:r>
      <w:r>
        <w:t xml:space="preserve"> </w:t>
      </w:r>
      <w:r>
        <w:t xml:space="preserve">for the default run.</w:t>
      </w:r>
    </w:p>
    <w:p>
      <w:pPr>
        <w:pStyle w:val="BodyText"/>
      </w:pPr>
      <w:r>
        <w:rPr>
          <w:b/>
          <w:bCs/>
        </w:rPr>
        <w:t xml:space="preserve">Step 5 — Simulate</w:t>
      </w:r>
      <w:r>
        <w:t xml:space="preserve">: Go to Tab 5. Set iterations to 10,000, GWP to AR6, seed to 42. Click</w:t>
      </w:r>
      <w:r>
        <w:t xml:space="preserve"> </w:t>
      </w:r>
      <w:r>
        <w:t xml:space="preserve">“Run Monte Carlo Simulation”</w:t>
      </w:r>
      <w:r>
        <w:t xml:space="preserve">.</w:t>
      </w:r>
    </w:p>
    <w:p>
      <w:pPr>
        <w:pStyle w:val="BodyText"/>
      </w:pPr>
      <w:r>
        <w:rPr>
          <w:b/>
          <w:bCs/>
        </w:rPr>
        <w:t xml:space="preserve">Step 6 — Results</w:t>
      </w:r>
      <w:r>
        <w:t xml:space="preserve">: After about 30 seconds, results appear. Note the 95% CI and MoE%. Click</w:t>
      </w:r>
      <w:r>
        <w:t xml:space="preserve"> </w:t>
      </w:r>
      <w:r>
        <w:t xml:space="preserve">“Run Diagnostic”</w:t>
      </w:r>
      <w:r>
        <w:t xml:space="preserve"> </w:t>
      </w:r>
      <w:r>
        <w:t xml:space="preserve">to confirm convergence.</w:t>
      </w:r>
    </w:p>
    <w:p>
      <w:pPr>
        <w:pStyle w:val="BodyText"/>
      </w:pPr>
      <w:r>
        <w:rPr>
          <w:b/>
          <w:bCs/>
        </w:rPr>
        <w:t xml:space="preserve">Step 7 — Sensitivity</w:t>
      </w:r>
      <w:r>
        <w:t xml:space="preserve">: Go to Tab 6. The tornado chart shows which parameters drive most uncertainty. In this example, Ym and BW for cows are typically the dominant contributors.</w:t>
      </w:r>
    </w:p>
    <w:p>
      <w:pPr>
        <w:pStyle w:val="BodyText"/>
      </w:pPr>
      <w:r>
        <w:rPr>
          <w:b/>
          <w:bCs/>
        </w:rPr>
        <w:t xml:space="preserve">Step 8 — Report</w:t>
      </w:r>
      <w:r>
        <w:t xml:space="preserve">: Go to Tab 7. Download the Excel report to see the full IPCC Table 3.3 output.</w:t>
      </w:r>
    </w:p>
    <w:p>
      <w:pPr>
        <w:pStyle w:val="BodyText"/>
      </w:pP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6E0882AC-B061-4A29-86BC-ADFB0DB52CA4}"/>
</file>

<file path=customXml/itemProps2.xml><?xml version="1.0" encoding="utf-8"?>
<ds:datastoreItem xmlns:ds="http://schemas.openxmlformats.org/officeDocument/2006/customXml" ds:itemID="{8A531247-17D1-455C-842E-6391CD56D5D2}"/>
</file>

<file path=customXml/itemProps3.xml><?xml version="1.0" encoding="utf-8"?>
<ds:datastoreItem xmlns:ds="http://schemas.openxmlformats.org/officeDocument/2006/customXml" ds:itemID="{04E3CB6B-499D-4C13-BF75-EA2BB31B8EF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IPCC Tier 2 Livestock GHG Uncertainty Calculator</dc:title>
  <dc:creator>CIAT / CGIAR Alliance — ClimateActionNetZero</dc:creator>
  <cp:keywords/>
  <dcterms:created xsi:type="dcterms:W3CDTF">2026-06-01T17:34:32Z</dcterms:created>
  <dcterms:modified xsi:type="dcterms:W3CDTF">2026-06-01T17:34:32Z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top=3cm, bottom=2.5cm, left=2.5cm, right=2.5cm</vt:lpwstr>
  </property>
  <property fmtid="{D5CDD505-2E9C-101B-9397-08002B2CF9AE}" pid="4" name="header-includes">
    <vt:lpwstr/>
  </property>
  <property fmtid="{D5CDD505-2E9C-101B-9397-08002B2CF9AE}" pid="5" name="linestretch">
    <vt:lpwstr>1.15</vt:lpwstr>
  </property>
  <property fmtid="{D5CDD505-2E9C-101B-9397-08002B2CF9AE}" pid="6" name="output">
    <vt:lpwstr/>
  </property>
  <property fmtid="{D5CDD505-2E9C-101B-9397-08002B2CF9AE}" pid="7" name="subtitle">
    <vt:lpwstr>User Guide</vt:lpwstr>
  </property>
  <property fmtid="{D5CDD505-2E9C-101B-9397-08002B2CF9AE}" pid="8" name="ContentTypeId">
    <vt:lpwstr>0x0101006AAA32E7549EE6449AC68337FF671C5A</vt:lpwstr>
  </property>
</Properties>
</file>