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Diagnosis run — H1 (Dirichlet) ruled out; equation/parameter level is the suspect.</w:t>
            </w:r>
            <w:r>
              <w:rPr>
                <w:sz w:val="16"/>
              </w:rPr>
              <w:t xml:space="preserve"> Reproduced your intensive-dairy run using the source data in </w:t>
            </w:r>
            <w:r>
              <w:rPr>
                <w:rFonts w:ascii="Consolas" w:hAnsi="Consolas"/>
                <w:color w:val="1B4332"/>
                <w:sz w:val="16"/>
              </w:rPr>
              <w:t>22-07-2023 Zimbabwe Uncertanity Analysis input data_WSv_SWa.xlsx</w:t>
            </w:r>
            <w:r>
              <w:rPr>
                <w:sz w:val="16"/>
              </w:rPr>
              <w:t xml:space="preserve"> and computed direct N2O MM three ways: (A) deterministic point estimate, no Monte Carlo at all — 23.89 t; (B) MC with Dirichlet OFF, 10k iter — mean 24.08 t; (C) MC with Dirichlet ON at the app default </w:t>
            </w:r>
            <w:r>
              <w:rPr>
                <w:rFonts w:ascii="Consolas" w:hAnsi="Consolas"/>
                <w:color w:val="1B4332"/>
                <w:sz w:val="16"/>
              </w:rPr>
              <w:t>concentration=50</w:t>
            </w:r>
            <w:r>
              <w:rPr>
                <w:sz w:val="16"/>
              </w:rPr>
              <w:t xml:space="preserve"> — mean 24.08 t. B and C agree to four significant figures, which falsifies hypothesis H1: Dirichlet preserves the marginal mean exactly (as Dirichlet theory predicts when per-MMS EF3 is a constant) and is </w:t>
            </w:r>
            <w:r>
              <w:rPr>
                <w:b/>
                <w:sz w:val="16"/>
              </w:rPr>
              <w:t>not</w:t>
            </w:r>
            <w:r>
              <w:rPr>
                <w:sz w:val="16"/>
              </w:rPr>
              <w:t xml:space="preserve"> the cause of the gap with your Excel. The gap lives at the deterministic level. The fact that our deterministic ~23.9 t closely matches your tool sim ~24.8 t — and that both are ~28 % below your Excel 33.23 t — means the equations themselves are producing a different number than the IPCC software, not the MC step. The two candidates now in front: (i) the tool's </w:t>
            </w:r>
            <w:r>
              <w:rPr>
                <w:rFonts w:ascii="Consolas" w:hAnsi="Consolas"/>
                <w:color w:val="1B4332"/>
                <w:sz w:val="16"/>
              </w:rPr>
              <w:t>calc_n_excretion</w:t>
            </w:r>
            <w:r>
              <w:rPr>
                <w:sz w:val="16"/>
              </w:rPr>
              <w:t xml:space="preserve"> is a simplification of IPCC Eq 10.31-10.34 and likely under-estimates Nex relative to the IPCC software's full implementation; for the cow sub-category it computes Nex = 47.3 kg N/head/year, whereas IPCC Table 10.19 typical Africa-dairy Nex is 60-78 kg N/head/year. (ii) MMS allocation defaults from your </w:t>
            </w:r>
            <w:r>
              <w:rPr>
                <w:rFonts w:ascii="Consolas" w:hAnsi="Consolas"/>
                <w:color w:val="1B4332"/>
                <w:sz w:val="16"/>
              </w:rPr>
              <w:t>manure_management</w:t>
            </w:r>
            <w:r>
              <w:rPr>
                <w:sz w:val="16"/>
              </w:rPr>
              <w:t xml:space="preserve"> sheet may not match what you entered in Excel. Next step on our side: rewrite </w:t>
            </w:r>
            <w:r>
              <w:rPr>
                <w:rFonts w:ascii="Consolas" w:hAnsi="Consolas"/>
                <w:color w:val="1B4332"/>
                <w:sz w:val="16"/>
              </w:rPr>
              <w:t>calc_n_excretion</w:t>
            </w:r>
            <w:r>
              <w:rPr>
                <w:sz w:val="16"/>
              </w:rPr>
              <w:t xml:space="preserve"> against the full IPCC 2006 / 2019 Eq 10.31-10.34 worksheet and re-test. </w:t>
            </w:r>
            <w:r>
              <w:rPr>
                <w:b/>
                <w:sz w:val="16"/>
              </w:rPr>
              <w:t>What we need from you:</w:t>
            </w:r>
            <w:r>
              <w:rPr>
                <w:sz w:val="16"/>
              </w:rPr>
              <w:t xml:space="preserve"> the populated </w:t>
            </w:r>
            <w:r>
              <w:rPr>
                <w:rFonts w:ascii="Consolas" w:hAnsi="Consolas"/>
                <w:color w:val="1B4332"/>
                <w:sz w:val="16"/>
              </w:rPr>
              <w:t>uncertainty_template_ipcc2019.xlsx</w:t>
            </w:r>
            <w:r>
              <w:rPr>
                <w:sz w:val="16"/>
              </w:rPr>
              <w:t xml:space="preserve"> you actually uploaded, so we can compare your MMS% allocation row-by-row. Also still need: confirmation whether your @Risk run included AD uncertainty or EF-only.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Diagnosis run — different direction in our reproduction than yours.</w:t>
            </w:r>
            <w:r>
              <w:rPr>
                <w:sz w:val="16"/>
              </w:rPr>
              <w:t xml:space="preserve"> Same three-way comparison: (A) deterministic 22.7 t; (B) MC Dirichlet OFF 23.5 t; (C) MC Dirichlet ON 23.5 t. So Dirichlet is also ruled out for indirect MM. But our reproduction is </w:t>
            </w:r>
            <w:r>
              <w:rPr>
                <w:i/>
                <w:sz w:val="16"/>
              </w:rPr>
              <w:t>higher</w:t>
            </w:r>
            <w:r>
              <w:rPr>
                <w:sz w:val="16"/>
              </w:rPr>
              <w:t xml:space="preserve"> than your Excel 16.89 t while your tool sim was </w:t>
            </w:r>
            <w:r>
              <w:rPr>
                <w:i/>
                <w:sz w:val="16"/>
              </w:rPr>
              <w:t>lower</w:t>
            </w:r>
            <w:r>
              <w:rPr>
                <w:sz w:val="16"/>
              </w:rPr>
              <w:t xml:space="preserve"> (9.69 t). That ~2.4× spread between your tool sim and ours strongly suggests we are using different MMS allocations — most likely your run plumbed in the app's default </w:t>
            </w:r>
            <w:r>
              <w:rPr>
                <w:rFonts w:ascii="Consolas" w:hAnsi="Consolas"/>
                <w:color w:val="1B4332"/>
                <w:sz w:val="16"/>
              </w:rPr>
              <w:t>pasture = 0.70, solid_storage = 0.30</w:t>
            </w:r>
            <w:r>
              <w:rPr>
                <w:sz w:val="16"/>
              </w:rPr>
              <w:t xml:space="preserve"> (because manure on pasture goes to PRP indirect, not MM indirect, which would naturally drag MM-indirect down to ~9.7 t), whereas our reproduction assumed </w:t>
            </w:r>
            <w:r>
              <w:rPr>
                <w:rFonts w:ascii="Consolas" w:hAnsi="Consolas"/>
                <w:color w:val="1B4332"/>
                <w:sz w:val="16"/>
              </w:rPr>
              <w:t>liquid_slurry = 0.70, solid_storage = 0.30</w:t>
            </w:r>
            <w:r>
              <w:rPr>
                <w:sz w:val="16"/>
              </w:rPr>
              <w:t xml:space="preserve"> (no pasture for intensive dairy). This is consistent with comment #36: your "pasture deposit N2O is not in the downloadable report" — meaning the PRP emissions you'd expect to see balance out the lower MM indirect probably </w:t>
            </w:r>
            <w:r>
              <w:rPr>
                <w:i/>
                <w:sz w:val="16"/>
              </w:rPr>
              <w:t>are</w:t>
            </w:r>
            <w:r>
              <w:rPr>
                <w:sz w:val="16"/>
              </w:rPr>
              <w:t xml:space="preserve"> in the tool's output but get aggregated away in the downloads. We can confirm this once you share the populated template. Note: hypothesis on Fracgas/Fracleach being percentage vs fraction has been ruled out by code inspection: the tool reads </w:t>
            </w:r>
            <w:r>
              <w:rPr>
                <w:rFonts w:ascii="Consolas" w:hAnsi="Consolas"/>
                <w:color w:val="1B4332"/>
                <w:sz w:val="16"/>
              </w:rPr>
              <w:t>Frac_GasMS_pct</w:t>
            </w:r>
            <w:r>
              <w:rPr>
                <w:sz w:val="16"/>
              </w:rPr>
              <w:t xml:space="preserve"> from the sheet and divides by 100 before use, so unit handling is consistent.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deferred. This is a breaking change for existing user templates. We will keep "W" as the catalogue name and add "BW" as a back-compat alias only once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deferred. Tied to A1 diagnosis: whether your Zimbabwe Milk input is per-lactating-animal or sub-category-average drives whether the tool's </w:t>
            </w:r>
            <w:r>
              <w:rPr>
                <w:rFonts w:ascii="Consolas" w:hAnsi="Consolas"/>
                <w:color w:val="1B4332"/>
                <w:sz w:val="16"/>
              </w:rPr>
              <w:t>pct_lactating × Milk</w:t>
            </w:r>
            <w:r>
              <w:rPr>
                <w:sz w:val="16"/>
              </w:rPr>
              <w:t xml:space="preserve"> term is double-counting. Awaiting your input convention before patching either the equation or the template prompt.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template restructure). Note: the new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from comment #10 are intentionally in the Parameters tab because they apply at sub-category × pct_pasture level, not at the MMS level.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and EF3/EF4/EF5 will move in the next round.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 Likely an openxlsx formula-evaluation quirk — will switch to pre-computed numeric values.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Will add </w:t>
            </w:r>
            <w:r>
              <w:rPr>
                <w:rFonts w:ascii="Consolas" w:hAnsi="Consolas"/>
                <w:color w:val="1B4332"/>
                <w:sz w:val="16"/>
              </w:rPr>
              <w:t>cattle_type</w:t>
            </w:r>
            <w:r>
              <w:rPr>
                <w:sz w:val="16"/>
              </w:rPr>
              <w:t xml:space="preserve"> / </w:t>
            </w:r>
            <w:r>
              <w:rPr>
                <w:rFonts w:ascii="Consolas" w:hAnsi="Consolas"/>
                <w:color w:val="1B4332"/>
                <w:sz w:val="16"/>
              </w:rPr>
              <w:t>aggregation_level</w:t>
            </w:r>
            <w:r>
              <w:rPr>
                <w:sz w:val="16"/>
              </w:rPr>
              <w:t xml:space="preserve"> / </w:t>
            </w:r>
            <w:r>
              <w:rPr>
                <w:rFonts w:ascii="Consolas" w:hAnsi="Consolas"/>
                <w:color w:val="1B4332"/>
                <w:sz w:val="16"/>
              </w:rPr>
              <w:t>sub_category</w:t>
            </w:r>
            <w:r>
              <w:rPr>
                <w:sz w:val="16"/>
              </w:rPr>
              <w:t xml:space="preserve"> columns to the time-series template.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(catalogue). Added </w:t>
            </w:r>
            <w:r>
              <w:rPr>
                <w:rFonts w:ascii="Consolas" w:hAnsi="Consolas"/>
                <w:color w:val="1B4332"/>
                <w:sz w:val="16"/>
              </w:rPr>
              <w:t>Tw</w:t>
            </w:r>
            <w:r>
              <w:rPr>
                <w:sz w:val="16"/>
              </w:rPr>
              <w:t xml:space="preserve"> (mean winter daily temperature, °C, IPCC Eq 10.2) to PARAM_CATALOGUE with default 20 °C (which leaves the Cfi adjustment inert). The Parameters template now generates a </w:t>
            </w:r>
            <w:r>
              <w:rPr>
                <w:rFonts w:ascii="Consolas" w:hAnsi="Consolas"/>
                <w:color w:val="1B4332"/>
                <w:sz w:val="16"/>
              </w:rPr>
              <w:t>Tw</w:t>
            </w:r>
            <w:r>
              <w:rPr>
                <w:sz w:val="16"/>
              </w:rPr>
              <w:t xml:space="preserve"> row per sub-category so countries can override per row (e.g. high Andes vs lowland). Definition notes that leaving blank or setting 20 disables the adjustment. The "Advanced" UI input still works as a global override.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Agree: keep both workflows; document them in the user guide.</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blocked on data. Bug confirmed at code-review level (when decomposition fails silently, </w:t>
            </w:r>
            <w:r>
              <w:rPr>
                <w:rFonts w:ascii="Consolas" w:hAnsi="Consolas"/>
                <w:color w:val="1B4332"/>
                <w:sz w:val="16"/>
              </w:rPr>
              <w:t>rv$ipcc_table</w:t>
            </w:r>
            <w:r>
              <w:rPr>
                <w:sz w:val="16"/>
              </w:rPr>
              <w:t xml:space="preserve"> stays NULL — which we have now hardened against in the Excel-download path, see #38). Reproducing the failure end-to-end still needs your populated </w:t>
            </w:r>
            <w:r>
              <w:rPr>
                <w:rFonts w:ascii="Consolas" w:hAnsi="Consolas"/>
                <w:color w:val="1B4332"/>
                <w:sz w:val="16"/>
              </w:rPr>
              <w:t>uncertainty_template_ipcc2019.xlsx</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blocked on data. Investigation needs the same Zimbabwe input file as A1/A2; will bundle.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4 rebuilt with per-IPCC-source rows and units (#37, #39). The executive-summary "Activity data uncertainty / Emission factor uncertainty" tables you mocked up are not yet in the Word build; queued for the next round once aggregation defaults are confirmed.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deferred. Will fact-check the IPCC 2006 Vol 1 Ch 3 column reference before partner rollout.</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reproduce A1/A2, #29 (decomposition for custom data) and #33 ("0 rows" replacement error) locally.</w:t>
      </w:r>
    </w:p>
    <w:p>
      <w:pPr>
        <w:pStyle w:val="ListBullet"/>
      </w:pPr>
      <w:r>
        <w:rPr>
          <w:sz w:val="20"/>
        </w:rPr>
        <w:t>Confirmation whether your @Risk run included AD uncertainty or EF-only.</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(drives the #9 / hypothesis-3 decision).</w:t>
      </w:r>
    </w:p>
    <w:p>
      <w:pPr>
        <w:pStyle w:val="ListBullet"/>
      </w:pPr>
      <w:r>
        <w:rPr>
          <w:sz w:val="20"/>
        </w:rPr>
        <w:t>Sign-off on the W → BW rename (#6) before we make it canonical.</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80E9930-F62A-45F4-AF22-A9B469B6C8EF}"/>
</file>

<file path=customXml/itemProps3.xml><?xml version="1.0" encoding="utf-8"?>
<ds:datastoreItem xmlns:ds="http://schemas.openxmlformats.org/officeDocument/2006/customXml" ds:itemID="{94C40C28-AFAF-45FD-8921-4E9391482F22}"/>
</file>

<file path=customXml/itemProps4.xml><?xml version="1.0" encoding="utf-8"?>
<ds:datastoreItem xmlns:ds="http://schemas.openxmlformats.org/officeDocument/2006/customXml" ds:itemID="{794FFA09-C26D-4FBC-9DF7-8C3C863207E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