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Xe00f91620ce2745c168df1c53c3192ab266978c"/>
    <w:p>
      <w:pPr>
        <w:pStyle w:val="Heading2"/>
      </w:pPr>
      <w:r>
        <w:t xml:space="preserve">AI-assisted data preparation (optional, free)</w:t>
      </w:r>
    </w:p>
    <w:p>
      <w:pPr>
        <w:pStyle w:val="FirstParagraph"/>
      </w:pPr>
      <w:r>
        <w:t xml:space="preserve">If your raw inventory data lives in your own Excel or CSV files with column names that do not match the template, you can use the free</w:t>
      </w:r>
      <w:r>
        <w:t xml:space="preserve"> </w:t>
      </w:r>
      <w:r>
        <w:rPr>
          <w:b/>
          <w:bCs/>
        </w:rPr>
        <w:t xml:space="preserve">GMH Uncertainty Translator</w:t>
      </w:r>
      <w:r>
        <w:t xml:space="preserve"> </w:t>
      </w:r>
      <w:r>
        <w:t xml:space="preserve">on</w:t>
      </w:r>
      <w:r>
        <w:t xml:space="preserve"> </w:t>
      </w:r>
      <w:r>
        <w:t xml:space="preserve"> </w:t>
      </w:r>
      <w:r>
        <w:t xml:space="preserve">to do the column-mapping and unit-conversion work for you. The Translator is a small AI assistant — loaded with the parameter catalogue, the template schema, and ten worked mapping examples — that you set up once inside your own free Claude.ai account and then reuse for every inventory. It is free, requires no installation, and your data stays inside your own account.</w:t>
      </w:r>
    </w:p>
    <w:p>
      <w:pPr>
        <w:pStyle w:val="BodyText"/>
      </w:pPr>
      <w:r>
        <w:t xml:space="preserve"> </w:t>
      </w:r>
      <w:r>
        <w:t xml:space="preserve">The Resources tab offers a downloadable</w:t>
      </w:r>
      <w:r>
        <w:t xml:space="preserve"> </w:t>
      </w:r>
      <w:r>
        <w:t xml:space="preserve"> </w:t>
      </w:r>
      <w:r>
        <w:t xml:space="preserve">containing a system-instructions file plus four small knowledge files. After signing up for a free Claude.ai account, you create a Project in claude.ai (Projects</w:t>
      </w:r>
      <w:r>
        <w:t xml:space="preserve"> </w:t>
      </w:r>
      <m:oMath>
        <m:r>
          <m:rPr>
            <m:sty m:val="p"/>
          </m:rPr>
          <m:t>→</m:t>
        </m:r>
      </m:oMath>
      <w:r>
        <w:t xml:space="preserve"> </w:t>
      </w:r>
      <w:r>
        <w:t xml:space="preserve">Create project), paste the contents of</w:t>
      </w:r>
      <w:r>
        <w:t xml:space="preserve"> </w:t>
      </w:r>
      <w:r>
        <w:t xml:space="preserve"> </w:t>
      </w:r>
      <w:r>
        <w:t xml:space="preserve">into the Project’s</w:t>
      </w:r>
      <w:r>
        <w:t xml:space="preserve"> </w:t>
      </w:r>
      <w:r>
        <w:t xml:space="preserve"> </w:t>
      </w:r>
      <w:r>
        <w:t xml:space="preserve">field, then drag the four knowledge files (</w:t>
      </w:r>
      <w:r>
        <w:t xml:space="preserve">,</w:t>
      </w:r>
      <w:r>
        <w:t xml:space="preserve"> </w:t>
      </w:r>
      <w:r>
        <w:t xml:space="preserve">,</w:t>
      </w:r>
      <w:r>
        <w:t xml:space="preserve"> </w:t>
      </w:r>
      <w:r>
        <w:t xml:space="preserve">,</w:t>
      </w:r>
      <w:r>
        <w:t xml:space="preserve"> </w:t>
      </w:r>
      <w:r>
        <w:t xml:space="preserve">) into the Project’s</w:t>
      </w:r>
      <w:r>
        <w:t xml:space="preserve"> </w:t>
      </w:r>
      <w:r>
        <w:t xml:space="preserve"> </w:t>
      </w:r>
      <w:r>
        <w:t xml:space="preserve">panel. That is the whole setup — you only do it once. Step-by-step screenshots are in the Getting Started guide available from the Resources tab.</w:t>
      </w:r>
    </w:p>
    <w:p>
      <w:pPr>
        <w:pStyle w:val="BodyText"/>
      </w:pPr>
      <w:r>
        <w:t xml:space="preserve"> </w:t>
      </w:r>
      <w:r>
        <w:t xml:space="preserve">The chat with the Translator has two distinct inputs you provide: a</w:t>
      </w:r>
      <w:r>
        <w:t xml:space="preserve"> </w:t>
      </w:r>
      <w:r>
        <w:t xml:space="preserve"> </w:t>
      </w:r>
      <w:r>
        <w:t xml:space="preserve">that you</w:t>
      </w:r>
      <w:r>
        <w:t xml:space="preserve"> </w:t>
      </w:r>
      <w:r>
        <w:t xml:space="preserve"> </w:t>
      </w:r>
      <w:r>
        <w:t xml:space="preserve">into the chat, and your</w:t>
      </w:r>
      <w:r>
        <w:t xml:space="preserve"> </w:t>
      </w:r>
      <w:r>
        <w:t xml:space="preserve"> </w:t>
      </w:r>
      <w:r>
        <w:t xml:space="preserve">that you</w:t>
      </w:r>
      <w:r>
        <w:t xml:space="preserve"> </w:t>
      </w:r>
      <w:r>
        <w:t xml:space="preserve"> </w:t>
      </w:r>
      <w:r>
        <w:t xml:space="preserve">when Claude prompts you. The questionnaire is not a separate upload — it is a one-page form whose contents you copy-paste into the chat box, so Claude knows about your inventory up front and can skip its warm-up questions.</w:t>
      </w: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is applied</w:t>
      </w:r>
      <w:r>
        <w:t xml:space="preserve"> </w:t>
      </w:r>
      <w:r>
        <w:t xml:space="preserve"> </w:t>
      </w:r>
      <w:r>
        <w:t xml:space="preserve">— the one parameter for which the tool keeps a defensible continental IPCC table lookup (Annex Tables 10A.1 dairy / 10A.2 non-dairy / 10A.3 buffalo). Milk, MW, DE, Ym, Bo no longer fire benchmark warnings — the 2019 Refinement publishes these by production system rather than continent, so any single mid-point comparison was misleading. They are still pre-filled with IPCC defaults when missing (flagged</w:t>
      </w:r>
      <w:r>
        <w:t xml:space="preserve"> </w:t>
      </w:r>
      <w:r>
        <w:t xml:space="preserve">), they just no longer raise</w:t>
      </w:r>
      <w:r>
        <w:t xml:space="preserve"> </w:t>
      </w:r>
      <w:r>
        <w:t xml:space="preserve"> </w:t>
      </w:r>
      <w:r>
        <w:t xml:space="preserve">purely for differing from a heuristic mid-point.</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The value is within ±50% of the IPCC default for the parameter (Vol.4 Ch.10 / Ch.11).</w:t>
      </w:r>
    </w:p>
    <w:p>
      <w:pPr>
        <w:pStyle w:val="BodyText"/>
      </w:pPr>
      <w:r>
        <w:t xml:space="preserve">: The value deviates 50–200% from the IPCC default</w:t>
      </w:r>
      <w:r>
        <w:t xml:space="preserve"> </w:t>
      </w:r>
      <w:r>
        <w:t xml:space="preserve">, or another non-fatal QA condition fired (e.g. asymmetric-bounds reminder for EF</w:t>
      </w:r>
      <w:r>
        <w:t xml:space="preserve">/Frac_GASM_PRP/Frac_LEACH_PRP, sub-category auto-match). Possible actions:</w:t>
      </w:r>
    </w:p>
    <w:p>
      <w:pPr>
        <w:pStyle w:val="BodyText"/>
      </w:pPr>
      <w:r>
        <w:t xml:space="preserve">: The value deviates more than 200% from the IPCC default. Most often this means a data-entry error (e.g. a live weight of 50,000 kg, a DE% of 150%). Correct the value before proceeding.</w:t>
      </w:r>
    </w:p>
    <w:p>
      <w:pPr>
        <w:pStyle w:val="BodyText"/>
      </w:pPr>
      <w:r>
        <w:t xml:space="preserve">: A required parameter was not found in the upload. The tool has auto-filled it with the IPCC default value from PARAM_CATALOGUE (the value and the IPCC equation/table source are shown in the Tab 1 notification).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would compare against the IPCC 2019 Refinement defaults (Vol.4 Ch.10 / Ch.11), and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2243662B-F793-4BF7-A393-681898D37EDE}"/>
</file>

<file path=customXml/itemProps2.xml><?xml version="1.0" encoding="utf-8"?>
<ds:datastoreItem xmlns:ds="http://schemas.openxmlformats.org/officeDocument/2006/customXml" ds:itemID="{E19C324F-B6F0-4BE2-8E93-D0D8B5116DEA}"/>
</file>

<file path=customXml/itemProps3.xml><?xml version="1.0" encoding="utf-8"?>
<ds:datastoreItem xmlns:ds="http://schemas.openxmlformats.org/officeDocument/2006/customXml" ds:itemID="{B260EAFB-6997-4930-BAFB-05A7E6268E96}"/>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2026-06-01T17:18:08Z</dcterms:created>
  <dcterms:modified xsi:type="dcterms:W3CDTF">2026-06-01T17:18:08Z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ContentTypeId">
    <vt:lpwstr>0x0101006AAA32E7549EE6449AC68337FF671C5A</vt:lpwstr>
  </property>
</Properties>
</file>