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MMS_DEFAULTS</w:t>
            </w:r>
            <w:r>
              <w:rPr>
                <w:sz w:val="16"/>
              </w:rPr>
              <w:t xml:space="preserve"> was expanded from 8 to 12 entries, with a </w:t>
            </w:r>
            <w:r>
              <w:rPr>
                <w:rFonts w:ascii="Consolas" w:hAnsi="Consolas"/>
                <w:color w:val="1B4332"/>
                <w:sz w:val="16"/>
              </w:rPr>
              <w:t>versions</w:t>
            </w:r>
            <w:r>
              <w:rPr>
                <w:sz w:val="16"/>
              </w:rPr>
              <w:t xml:space="preserve"> column noting whether each entry is in 2006, 2019, or both. New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(all 2019). The validation function </w:t>
            </w:r>
            <w:r>
              <w:rPr>
                <w:rFonts w:ascii="Consolas" w:hAnsi="Consolas"/>
                <w:color w:val="1B4332"/>
                <w:sz w:val="16"/>
              </w:rPr>
              <w:t>validate_manure_sheet(manure_df, meta)</w:t>
            </w:r>
            <w:r>
              <w:rPr>
                <w:sz w:val="16"/>
              </w:rPr>
              <w:t xml:space="preserve"> is now version-aware and flags MMS that are invalid for the chosen IPCC version. The template ships with the combined list and warns at upload time rather than gating download on an IPCC-version pick. (R/utils_ipcc_defaults.R, R/utils_template.R, R/utils_validation.R)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Awaiting your input. EF4, EF5, Frac_LEACH, Frac_GASMS already exist as global parameters in </w:t>
            </w:r>
            <w:r>
              <w:rPr>
                <w:rFonts w:ascii="Consolas" w:hAnsi="Consolas"/>
                <w:color w:val="1B4332"/>
                <w:sz w:val="16"/>
              </w:rPr>
              <w:t>PARAM_CATALOGUE</w:t>
            </w:r>
            <w:r>
              <w:rPr>
                <w:sz w:val="16"/>
              </w:rPr>
              <w:t xml:space="preserve"> and are sampled normally. Adding the per-MMS housing-vs-storage variants (Frac_GASM_S for storage, Frac_LEACH_H for housing) requires extending the </w:t>
            </w:r>
            <w:r>
              <w:rPr>
                <w:rFonts w:ascii="Consolas" w:hAnsi="Consolas"/>
                <w:color w:val="1B4332"/>
                <w:sz w:val="16"/>
              </w:rPr>
              <w:t>Manure_Management</w:t>
            </w:r>
            <w:r>
              <w:rPr>
                <w:sz w:val="16"/>
              </w:rPr>
              <w:t xml:space="preserve"> sheet with new columns and rewriting </w:t>
            </w:r>
            <w:r>
              <w:rPr>
                <w:rFonts w:ascii="Consolas" w:hAnsi="Consolas"/>
                <w:color w:val="1B4332"/>
                <w:sz w:val="16"/>
              </w:rPr>
              <w:t>calc_indirect_n2o_mm</w:t>
            </w:r>
            <w:r>
              <w:rPr>
                <w:sz w:val="16"/>
              </w:rPr>
              <w:t>. To land this in v4.0 we need from you a list of IPCC 2019 manure systems × {EF4, EF5, Frac_LEACH_H_housing, Frac_LEACH_H_storage} default values + uncertainty bounds.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Tab 4 currently supports four sources: time-series (auto), IPCC-guidance preset (sparse structural pairs), manual matrix CSV upload, and "no correlations". To add a fifth source we need from you the spec — typical candidates are correlations from a fitted regression on production covariates, or an expert-elicitation panel CSV. Tell us which one you want and we'll implement it in v4.0.</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Noted, deferred to v4.0. The internal </w:t>
            </w:r>
            <w:r>
              <w:rPr>
                <w:rFonts w:ascii="Consolas" w:hAnsi="Consolas"/>
                <w:color w:val="1B4332"/>
                <w:sz w:val="16"/>
              </w:rPr>
              <w:t>param_type</w:t>
            </w:r>
            <w:r>
              <w:rPr>
                <w:sz w:val="16"/>
              </w:rPr>
              <w:t xml:space="preserve"> is currently fixed by </w:t>
            </w:r>
            <w:r>
              <w:rPr>
                <w:rFonts w:ascii="Consolas" w:hAnsi="Consolas"/>
                <w:color w:val="1B4332"/>
                <w:sz w:val="16"/>
              </w:rPr>
              <w:t>PARAM_CATALOGUE</w:t>
            </w:r>
            <w:r>
              <w:rPr>
                <w:sz w:val="16"/>
              </w:rPr>
              <w:t xml:space="preserve"> (only </w:t>
            </w:r>
            <w:r>
              <w:rPr>
                <w:rFonts w:ascii="Consolas" w:hAnsi="Consolas"/>
                <w:color w:val="1B4332"/>
                <w:sz w:val="16"/>
              </w:rPr>
              <w:t>N</w:t>
            </w:r>
            <w:r>
              <w:rPr>
                <w:sz w:val="16"/>
              </w:rPr>
              <w:t xml:space="preserve"> is </w:t>
            </w:r>
            <w:r>
              <w:rPr>
                <w:rFonts w:ascii="Consolas" w:hAnsi="Consolas"/>
                <w:color w:val="1B4332"/>
                <w:sz w:val="16"/>
              </w:rPr>
              <w:t>activity_data</w:t>
            </w:r>
            <w:r>
              <w:rPr>
                <w:sz w:val="16"/>
              </w:rPr>
              <w:t xml:space="preserve">; all 23 others are </w:t>
            </w:r>
            <w:r>
              <w:rPr>
                <w:rFonts w:ascii="Consolas" w:hAnsi="Consolas"/>
                <w:color w:val="1B4332"/>
                <w:sz w:val="16"/>
              </w:rPr>
              <w:t>coefficient</w:t>
            </w:r>
            <w:r>
              <w:rPr>
                <w:sz w:val="16"/>
              </w:rPr>
              <w:t>). v4.0 will add a per-row dropdown in Tab 3 to override the default classification, with a tooltip explaining how reclassifying ripples into the IPCC Report decomposition. The "sampled independently" wording on Tab 3 is now scoped to "coefficients are sampled independently unless you set up a correlation in Tab 4" so the default behaviour is correctly described. (R/app_ui.R)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Noted, deferred to v4.0. This is the cross-block AD ↔ coefficient correlation case (T4.3 / Divergence #4). The current sampler runs two independent copulas — one over </w:t>
            </w:r>
            <w:r>
              <w:rPr>
                <w:rFonts w:ascii="Consolas" w:hAnsi="Consolas"/>
                <w:color w:val="1B4332"/>
                <w:sz w:val="16"/>
              </w:rPr>
              <w:t>N</w:t>
            </w:r>
            <w:r>
              <w:rPr>
                <w:sz w:val="16"/>
              </w:rPr>
              <w:t xml:space="preserve"> (the only AD parameter), one over the 23 coefficients — so cross-block correlations are zero by construction. v4.0 will unify them into a single 24×24 Gaussian copula with a UI for entering or uploading the full matrix. The IPCC Report tab already documents this as a known limitation.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Awaiting your input. Same blocker as Template #4 above — needs the IPCC 2019 schema (manure systems × {EF4, EF5, Frac_LEACH_H_housing, Frac_LEACH_H_storage}) before we can extend the Manure_Management sheet and rewrite the indirect-N2O calculation.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Depends on R1.12 schema.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Noted, deferred to v4.0. Default = independent (current behaviour); v4.0 adds radio for fully and partially correlated modes per IPCC 2019 §3.22.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Tell us which source(s) you want and we'll wire them in v4.0.</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Per-row dropdown in Tab 3 to override the default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classification.</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item above marked "Done" — covers all of Andreas's PDF except those listed below.</w:t>
      </w:r>
    </w:p>
    <w:p>
      <w:pPr>
        <w:pStyle w:val="ListBullet"/>
      </w:pPr>
      <w:r>
        <w:rPr>
          <w:b/>
          <w:sz w:val="20"/>
        </w:rPr>
        <w:t>Awaiting your input:</w:t>
      </w:r>
      <w:r>
        <w:rPr>
          <w:sz w:val="20"/>
        </w:rPr>
        <w:t xml:space="preserve"> Template #4, R1.12, R1.13, R1.15, plus the alternative correlation-source half of TT.7.</w:t>
      </w:r>
    </w:p>
    <w:p>
      <w:pPr>
        <w:pStyle w:val="ListBullet"/>
      </w:pPr>
      <w:r>
        <w:rPr>
          <w:b/>
          <w:sz w:val="20"/>
        </w:rPr>
        <w:t>Noted, deferred to v4.0:</w:t>
      </w:r>
      <w:r>
        <w:rPr>
          <w:sz w:val="20"/>
        </w:rPr>
        <w:t xml:space="preserve"> T4.3 (cross-block AD↔coefficient copula), T4.21 (MMS Dirichlet sampling), T4.22 / R1.14 (between-year correlation modes), R1.16 / TT.9 (user-overridable param_type), and the region-aware </w:t>
      </w:r>
      <w:r>
        <w:rPr>
          <w:i/>
          <w:sz w:val="20"/>
        </w:rPr>
        <w:t>completeness</w:t>
      </w:r>
      <w:r>
        <w:rPr>
          <w:sz w:val="20"/>
        </w:rPr>
        <w:t xml:space="preserve"> half of T2.1 (the benchmark half is done).</w:t>
      </w:r>
    </w:p>
    <w:p>
      <w:pPr>
        <w:pStyle w:val="ListBullet"/>
      </w:pPr>
      <w:r>
        <w:rPr>
          <w:b/>
          <w:sz w:val="20"/>
        </w:rPr>
        <w:t>Cosmetic — final pass:</w:t>
      </w:r>
      <w:r>
        <w:rPr>
          <w:sz w:val="20"/>
        </w:rPr>
        <w:t xml:space="preserve"> T0.1.</w:t>
      </w:r>
    </w:p>
    <w:p>
      <w:r>
        <w:rPr>
          <w:sz w:val="20"/>
        </w:rPr>
        <w:t>The next round (v4.0) sequences the deferred items as: param_type override → cross-block 24×24 copula → MMS Dirichlet → between-year correlation → region-aware completeness → benchmark-message polish. Per-MMS Frac variants and the alternative correlation source land alongside whichever of those is closest in the queue once you send the inputs we need.</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86F1E9D-87BD-49A7-8712-ED4DAF5294C2}"/>
</file>

<file path=customXml/itemProps3.xml><?xml version="1.0" encoding="utf-8"?>
<ds:datastoreItem xmlns:ds="http://schemas.openxmlformats.org/officeDocument/2006/customXml" ds:itemID="{D614AA68-65F1-4A5E-8A73-A35A8C89EAC2}"/>
</file>

<file path=customXml/itemProps4.xml><?xml version="1.0" encoding="utf-8"?>
<ds:datastoreItem xmlns:ds="http://schemas.openxmlformats.org/officeDocument/2006/customXml" ds:itemID="{AC44A657-4A96-489D-AF34-C2E3B3E72E4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