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Root cause identified and fixed (2026-05-18).</w:t>
            </w:r>
            <w:r>
              <w:rPr>
                <w:sz w:val="16"/>
              </w:rPr>
              <w:t xml:space="preserve"> With your populated </w:t>
            </w:r>
            <w:r>
              <w:rPr>
                <w:rFonts w:ascii="Consolas" w:hAnsi="Consolas"/>
                <w:color w:val="1B4332"/>
                <w:sz w:val="16"/>
              </w:rPr>
              <w:t>uncertainty_template_ipcc2019_ZIM_v2.xlsx</w:t>
            </w:r>
            <w:r>
              <w:rPr>
                <w:sz w:val="16"/>
              </w:rPr>
              <w:t xml:space="preserve"> we re-ran the diagnosis and traced the gap to a real bug in </w:t>
            </w:r>
            <w:r>
              <w:rPr>
                <w:rFonts w:ascii="Consolas" w:hAnsi="Consolas"/>
                <w:color w:val="1B4332"/>
                <w:sz w:val="16"/>
              </w:rPr>
              <w:t>calc_n_excretion</w:t>
            </w:r>
            <w:r>
              <w:rPr>
                <w:sz w:val="16"/>
              </w:rPr>
              <w:t xml:space="preserve"> ([R/calc_manure_n2o.R](R/calc_manure_n2o.R)). The code applied the DE digestibility factor to the N-intake step: </w:t>
            </w:r>
            <w:r>
              <w:rPr>
                <w:rFonts w:ascii="Consolas" w:hAnsi="Consolas"/>
                <w:color w:val="1B4332"/>
                <w:sz w:val="16"/>
              </w:rPr>
              <w:t>DMI ← (ge × DE / 100) / 18.45; N_intake ← DMI × CP/100 / 6.25</w:t>
            </w:r>
            <w:r>
              <w:rPr>
                <w:sz w:val="16"/>
              </w:rPr>
              <w:t xml:space="preserve">. But IPCC 2006 Eq 10.32 (and the 2019 Refinement Eq 10.32A) compute N intake from </w:t>
            </w:r>
            <w:r>
              <w:rPr>
                <w:b/>
                <w:sz w:val="16"/>
              </w:rPr>
              <w:t>gross</w:t>
            </w:r>
            <w:r>
              <w:rPr>
                <w:sz w:val="16"/>
              </w:rPr>
              <w:t xml:space="preserve"> feed mass: </w:t>
            </w:r>
            <w:r>
              <w:rPr>
                <w:rFonts w:ascii="Consolas" w:hAnsi="Consolas"/>
                <w:color w:val="1B4332"/>
                <w:sz w:val="16"/>
              </w:rPr>
              <w:t>N_intake = (GE / 18.45) × (CP%/100) / 6.25</w:t>
            </w:r>
            <w:r>
              <w:rPr>
                <w:sz w:val="16"/>
              </w:rPr>
              <w:t xml:space="preserve"> — no DE factor. The DE term belongs in the volatile-solids equation (Eq 10.24, manure CH4) where we want the </w:t>
            </w:r>
            <w:r>
              <w:rPr>
                <w:i/>
                <w:sz w:val="16"/>
              </w:rPr>
              <w:t>undigested</w:t>
            </w:r>
            <w:r>
              <w:rPr>
                <w:sz w:val="16"/>
              </w:rPr>
              <w:t xml:space="preserve"> fraction, not in N intake. Mixing the two under-estimated N intake by ~25-30 %, which propagated to a similar under-estimate of N excretion → direct N2O MM → indirect N2O MM. </w:t>
            </w:r>
            <w:r>
              <w:rPr>
                <w:b/>
                <w:sz w:val="16"/>
              </w:rPr>
              <w:t>Fixed</w:t>
            </w:r>
            <w:r>
              <w:rPr>
                <w:sz w:val="16"/>
              </w:rPr>
              <w:t xml:space="preserve">: removed the DE factor from N intake. Re-running your file through the tool (with the heifer-name patch — see note below) now gives direct N2O MM = 30.71 t (vs Excel 33.23, -7.6 %) and indirect N2O MM = 15.42 t (vs Excel 16.89, -8.7 %) — both within Monte Carlo noise. </w:t>
            </w:r>
            <w:r>
              <w:rPr>
                <w:b/>
                <w:sz w:val="16"/>
              </w:rPr>
              <w:t>Note on the heifer mismatch:</w:t>
            </w:r>
            <w:r>
              <w:rPr>
                <w:sz w:val="16"/>
              </w:rPr>
              <w:t xml:space="preserve"> your Parameters sheet uses </w:t>
            </w:r>
            <w:r>
              <w:rPr>
                <w:rFonts w:ascii="Consolas" w:hAnsi="Consolas"/>
                <w:color w:val="1B4332"/>
                <w:sz w:val="16"/>
              </w:rPr>
              <w:t>DINT_heif</w:t>
            </w:r>
            <w:r>
              <w:rPr>
                <w:sz w:val="16"/>
              </w:rPr>
              <w:t xml:space="preserve">, your Manure_Management uses </w:t>
            </w:r>
            <w:r>
              <w:rPr>
                <w:rFonts w:ascii="Consolas" w:hAnsi="Consolas"/>
                <w:color w:val="1B4332"/>
                <w:sz w:val="16"/>
              </w:rPr>
              <w:t>DINT_heifer</w:t>
            </w:r>
            <w:r>
              <w:rPr>
                <w:sz w:val="16"/>
              </w:rPr>
              <w:t xml:space="preserve"> — so the heifer group's MMS allocation was silently dropping back to the default pasture allocation. Added an upload-time warning in the simulation log ([R/app_server.R](R/app_server.R)) so any future Parameters group with no matching Manure_Management rows is flagged.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Same root cause as A1 — fixed.</w:t>
            </w:r>
            <w:r>
              <w:rPr>
                <w:sz w:val="16"/>
              </w:rPr>
              <w:t xml:space="preserve"> The N-intake bug cascaded into indirect N2O via the same Nex → EF4 / EF5 path. After the fix, indirect N2O MM = 15.42 t (vs Excel 16.89, -8.7 %). The heifer-name mismatch in your template (see A1) was contributing too — heifers' MMS allocation was falling back to default, halving their indirect-N2O contribution. Both fixes together close the gap to within MC noise. Note: the indirect equation itself was always correct; the upstream Nex value was wrong.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Code-base audit follow-up (2026-05-18, three parallel deep-dive reviews):</w:t>
      </w:r>
    </w:p>
    <w:p>
      <w:r>
        <w:rPr>
          <w:sz w:val="20"/>
        </w:rPr>
        <w:t>Triggered after the Dirichlet removal + N-excretion fix to look for any other non-IPCC patterns. Three parallel audits (calc engine / Monte Carlo / template+QAQC) surfaced both real issues and false positives. Real issues fixed:</w:t>
      </w:r>
    </w:p>
    <w:p>
      <w:pPr>
        <w:pStyle w:val="ListBullet"/>
      </w:pPr>
      <w:r>
        <w:rPr>
          <w:b/>
          <w:sz w:val="20"/>
        </w:rPr>
        <w:t>Removed unused `DE` argument from `calc_n_excretion`.</w:t>
      </w:r>
      <w:r>
        <w:rPr>
          <w:sz w:val="20"/>
        </w:rPr>
        <w:t xml:space="preserve"> Now that the DE factor is no longer applied to N intake (per the A1/A2 fix below), the parameter was dead weight in the function signature — could confuse future callers. Removed from both the function and its single call site in </w:t>
      </w:r>
      <w:r>
        <w:rPr>
          <w:rFonts w:ascii="Consolas" w:hAnsi="Consolas"/>
          <w:color w:val="1B4332"/>
          <w:sz w:val="20"/>
        </w:rPr>
        <w:t>ghg_emissions</w:t>
      </w:r>
      <w:r>
        <w:rPr>
          <w:sz w:val="20"/>
        </w:rPr>
        <w:t>. [R/calc_manure_n2o.R](R/calc_manure_n2o.R), [R/calc_ghg_master.R](R/calc_ghg_master.R).</w:t>
      </w:r>
    </w:p>
    <w:p>
      <w:pPr>
        <w:pStyle w:val="ListBullet"/>
      </w:pPr>
      <w:r>
        <w:rPr>
          <w:b/>
          <w:sz w:val="20"/>
        </w:rPr>
        <w:t>Defensive bounds checks</w:t>
      </w:r>
      <w:r>
        <w:rPr>
          <w:sz w:val="20"/>
        </w:rPr>
        <w:t xml:space="preserve"> in </w:t>
      </w:r>
      <w:r>
        <w:rPr>
          <w:rFonts w:ascii="Consolas" w:hAnsi="Consolas"/>
          <w:color w:val="1B4332"/>
          <w:sz w:val="20"/>
        </w:rPr>
        <w:t>calc_n_excretion</w:t>
      </w:r>
      <w:r>
        <w:rPr>
          <w:sz w:val="20"/>
        </w:rPr>
        <w:t xml:space="preserve"> (MilkPR ∉ [0,10]), </w:t>
      </w:r>
      <w:r>
        <w:rPr>
          <w:rFonts w:ascii="Consolas" w:hAnsi="Consolas"/>
          <w:color w:val="1B4332"/>
          <w:sz w:val="20"/>
        </w:rPr>
        <w:t>calc_volatile_solids</w:t>
      </w:r>
      <w:r>
        <w:rPr>
          <w:sz w:val="20"/>
        </w:rPr>
        <w:t xml:space="preserve"> (ASH ∉ [0,1), UE ∉ [0,1]), and </w:t>
      </w:r>
      <w:r>
        <w:rPr>
          <w:rFonts w:ascii="Consolas" w:hAnsi="Consolas"/>
          <w:color w:val="1B4332"/>
          <w:sz w:val="20"/>
        </w:rPr>
        <w:t>calc_nem</w:t>
      </w:r>
      <w:r>
        <w:rPr>
          <w:sz w:val="20"/>
        </w:rPr>
        <w:t xml:space="preserve"> (Tw &lt; -50 °C). Each emits a </w:t>
      </w:r>
      <w:r>
        <w:rPr>
          <w:rFonts w:ascii="Consolas" w:hAnsi="Consolas"/>
          <w:color w:val="1B4332"/>
          <w:sz w:val="20"/>
        </w:rPr>
        <w:t>warning()</w:t>
      </w:r>
      <w:r>
        <w:rPr>
          <w:sz w:val="20"/>
        </w:rPr>
        <w:t xml:space="preserve"> rather than crashing — preserves backwards-compat but surfaces data-entry errors. [R/calc_manure_n2o.R](R/calc_manure_n2o.R), [R/calc_manure_ch4.R](R/calc_manure_ch4.R), [R/calc_energy.R](R/calc_energy.R).</w:t>
      </w:r>
    </w:p>
    <w:p>
      <w:pPr>
        <w:pStyle w:val="ListBullet"/>
      </w:pPr>
      <w:r>
        <w:rPr>
          <w:b/>
          <w:sz w:val="20"/>
        </w:rPr>
        <w:t>`nearPD` silent-adjustment warning.</w:t>
      </w:r>
      <w:r>
        <w:rPr>
          <w:sz w:val="20"/>
        </w:rPr>
        <w:t xml:space="preserve"> Every time the tool builds a correlation matrix (user-supplied via correlations tab, IPCC preset, or expanded from a partial spec), </w:t>
      </w:r>
      <w:r>
        <w:rPr>
          <w:rFonts w:ascii="Consolas" w:hAnsi="Consolas"/>
          <w:color w:val="1B4332"/>
          <w:sz w:val="20"/>
        </w:rPr>
        <w:t>Matrix::nearPD</w:t>
      </w:r>
      <w:r>
        <w:rPr>
          <w:sz w:val="20"/>
        </w:rPr>
        <w:t xml:space="preserve"> silently re-projects it onto the nearest positive-definite matrix. Previously this could change user-specified correlations by up to ±0.1 without notice. New </w:t>
      </w:r>
      <w:r>
        <w:rPr>
          <w:rFonts w:ascii="Consolas" w:hAnsi="Consolas"/>
          <w:color w:val="1B4332"/>
          <w:sz w:val="20"/>
        </w:rPr>
        <w:t>.repair_corr()</w:t>
      </w:r>
      <w:r>
        <w:rPr>
          <w:sz w:val="20"/>
        </w:rPr>
        <w:t xml:space="preserve"> helper emits </w:t>
      </w:r>
      <w:r>
        <w:rPr>
          <w:rFonts w:ascii="Consolas" w:hAnsi="Consolas"/>
          <w:color w:val="1B4332"/>
          <w:sz w:val="20"/>
        </w:rPr>
        <w:t>warning()</w:t>
      </w:r>
      <w:r>
        <w:rPr>
          <w:sz w:val="20"/>
        </w:rPr>
        <w:t xml:space="preserve"> when the adjustment exceeds 0.05. [R/mc_sampling.R](R/mc_sampling.R).</w:t>
      </w:r>
    </w:p>
    <w:p>
      <w:pPr>
        <w:pStyle w:val="ListBullet"/>
      </w:pPr>
      <w:r>
        <w:rPr>
          <w:b/>
          <w:sz w:val="20"/>
        </w:rPr>
        <w:t>Whitespace + case normalisation on upload.</w:t>
      </w:r>
      <w:r>
        <w:rPr>
          <w:sz w:val="20"/>
        </w:rPr>
        <w:t xml:space="preserve"> Trailing spaces in </w:t>
      </w:r>
      <w:r>
        <w:rPr>
          <w:rFonts w:ascii="Consolas" w:hAnsi="Consolas"/>
          <w:color w:val="1B4332"/>
          <w:sz w:val="20"/>
        </w:rPr>
        <w:t>parameter</w:t>
      </w:r>
      <w:r>
        <w:rPr>
          <w:sz w:val="20"/>
        </w:rPr>
        <w:t xml:space="preserve"> column ("N " instead of "N") were silently dropping rows because the catalogue match failed. Case differences ("Dairy" vs "dairy") were splitting one cattle group into two systems_data entries. </w:t>
      </w:r>
      <w:r>
        <w:rPr>
          <w:rFonts w:ascii="Consolas" w:hAnsi="Consolas"/>
          <w:color w:val="1B4332"/>
          <w:sz w:val="20"/>
        </w:rPr>
        <w:t>parse_uploaded_template</w:t>
      </w:r>
      <w:r>
        <w:rPr>
          <w:sz w:val="20"/>
        </w:rPr>
        <w:t xml:space="preserve"> now </w:t>
      </w:r>
      <w:r>
        <w:rPr>
          <w:rFonts w:ascii="Consolas" w:hAnsi="Consolas"/>
          <w:color w:val="1B4332"/>
          <w:sz w:val="20"/>
        </w:rPr>
        <w:t>trimws()</w:t>
      </w:r>
      <w:r>
        <w:rPr>
          <w:sz w:val="20"/>
        </w:rPr>
        <w:t xml:space="preserve"> on parameter / cattle_type / aggregation_level / sub_category / mms_type and </w:t>
      </w:r>
      <w:r>
        <w:rPr>
          <w:rFonts w:ascii="Consolas" w:hAnsi="Consolas"/>
          <w:color w:val="1B4332"/>
          <w:sz w:val="20"/>
        </w:rPr>
        <w:t>tolower()</w:t>
      </w:r>
      <w:r>
        <w:rPr>
          <w:sz w:val="20"/>
        </w:rPr>
        <w:t xml:space="preserve"> on cattle_type and distribution. [R/utils_template.R](R/utils_template.R).</w:t>
      </w:r>
    </w:p>
    <w:p>
      <w:pPr>
        <w:pStyle w:val="ListBullet"/>
      </w:pPr>
      <w:r>
        <w:rPr>
          <w:b/>
          <w:sz w:val="20"/>
        </w:rPr>
        <w:t>Lognormal convention documented.</w:t>
      </w:r>
      <w:r>
        <w:rPr>
          <w:sz w:val="20"/>
        </w:rPr>
        <w:t xml:space="preserve"> Empirically verified that the lognormal sampler uses </w:t>
      </w:r>
      <w:r>
        <w:rPr>
          <w:rFonts w:ascii="Consolas" w:hAnsi="Consolas"/>
          <w:color w:val="1B4332"/>
          <w:sz w:val="20"/>
        </w:rPr>
        <w:t>mean_val</w:t>
      </w:r>
      <w:r>
        <w:rPr>
          <w:sz w:val="20"/>
        </w:rPr>
        <w:t xml:space="preserve"> as the </w:t>
      </w:r>
      <w:r>
        <w:rPr>
          <w:b/>
          <w:sz w:val="20"/>
        </w:rPr>
        <w:t>median</w:t>
      </w:r>
      <w:r>
        <w:rPr>
          <w:sz w:val="20"/>
        </w:rPr>
        <w:t xml:space="preserve"> (</w:t>
      </w:r>
      <w:r>
        <w:rPr>
          <w:rFonts w:ascii="Consolas" w:hAnsi="Consolas"/>
          <w:color w:val="1B4332"/>
          <w:sz w:val="20"/>
        </w:rPr>
        <w:t>mu_log = log(mean_val)</w:t>
      </w:r>
      <w:r>
        <w:rPr>
          <w:sz w:val="20"/>
        </w:rPr>
        <w:t xml:space="preserve">), which puts the realised arithmetic mean ~10–25 % above </w:t>
      </w:r>
      <w:r>
        <w:rPr>
          <w:rFonts w:ascii="Consolas" w:hAnsi="Consolas"/>
          <w:color w:val="1B4332"/>
          <w:sz w:val="20"/>
        </w:rPr>
        <w:t>mean_val</w:t>
      </w:r>
      <w:r>
        <w:rPr>
          <w:sz w:val="20"/>
        </w:rPr>
        <w:t xml:space="preserve"> for the IPCC asymmetric defaults (EF3_PRP, EF4, EF5, Frac_LEACH_H). This is consistent with the IPCC GPG 2000 / Penman 2000 / Monni 2007 convention where "central value" for a skewed distribution is the geometric mean / median, not the arithmetic mean. Added a clear comment block at the top of [R/utils_distributions.R](R/utils_distributions.R) so future readers can defend the choice.</w:t>
      </w:r>
    </w:p>
    <w:p>
      <w:r>
        <w:rPr>
          <w:sz w:val="20"/>
        </w:rPr>
        <w:t xml:space="preserve">Audit false-positives (verified and dismissed): catalogue param_type length (28 columns × 28 elements confirmed); </w:t>
      </w:r>
      <w:r>
        <w:rPr>
          <w:rFonts w:ascii="Consolas" w:hAnsi="Consolas"/>
          <w:color w:val="1B4332"/>
          <w:sz w:val="20"/>
        </w:rPr>
        <w:t>Frac_GasMS</w:t>
      </w:r>
      <w:r>
        <w:rPr>
          <w:sz w:val="20"/>
        </w:rPr>
        <w:t xml:space="preserve"> / </w:t>
      </w:r>
      <w:r>
        <w:rPr>
          <w:rFonts w:ascii="Consolas" w:hAnsi="Consolas"/>
          <w:color w:val="1B4332"/>
          <w:sz w:val="20"/>
        </w:rPr>
        <w:t>Frac_GASMS</w:t>
      </w:r>
      <w:r>
        <w:rPr>
          <w:sz w:val="20"/>
        </w:rPr>
        <w:t xml:space="preserve"> "case mismatch" (these are deliberately different columns — Parameters has the broadcast scalar </w:t>
      </w:r>
      <w:r>
        <w:rPr>
          <w:rFonts w:ascii="Consolas" w:hAnsi="Consolas"/>
          <w:color w:val="1B4332"/>
          <w:sz w:val="20"/>
        </w:rPr>
        <w:t>Frac_GASMS</w:t>
      </w:r>
      <w:r>
        <w:rPr>
          <w:sz w:val="20"/>
        </w:rPr>
        <w:t xml:space="preserve">; Manure_Management has the per-MMS </w:t>
      </w:r>
      <w:r>
        <w:rPr>
          <w:rFonts w:ascii="Consolas" w:hAnsi="Consolas"/>
          <w:color w:val="1B4332"/>
          <w:sz w:val="20"/>
        </w:rPr>
        <w:t>Frac_GasMS_pct</w:t>
      </w:r>
      <w:r>
        <w:rPr>
          <w:sz w:val="20"/>
        </w:rPr>
        <w:t xml:space="preserve">); the beta-variance formula (the </w:t>
      </w:r>
      <w:r>
        <w:rPr>
          <w:rFonts w:ascii="Consolas" w:hAnsi="Consolas"/>
          <w:color w:val="1B4332"/>
          <w:sz w:val="20"/>
        </w:rPr>
        <w:t>(upper-lower)</w:t>
      </w:r>
      <w:r>
        <w:rPr>
          <w:sz w:val="20"/>
        </w:rPr>
        <w:t xml:space="preserve"> cancellation is mathematically correct because the variance is computed on the [0,1]-normalised beta scale before being rescaled back).</w:t>
      </w:r>
    </w:p>
    <w:p>
      <w:r>
        <w:rPr>
          <w:b/>
          <w:sz w:val="20"/>
        </w:rPr>
        <w:t>A1 / A2 root cause — N excretion DE bug (2026-05-18):</w:t>
      </w:r>
      <w:r>
        <w:rPr>
          <w:sz w:val="20"/>
        </w:rPr>
        <w:t xml:space="preserve"> With your </w:t>
      </w:r>
      <w:r>
        <w:rPr>
          <w:rFonts w:ascii="Consolas" w:hAnsi="Consolas"/>
          <w:color w:val="1B4332"/>
          <w:sz w:val="20"/>
        </w:rPr>
        <w:t>uncertainty_template_ipcc2019_ZIM_v2.xlsx</w:t>
      </w:r>
      <w:r>
        <w:rPr>
          <w:sz w:val="20"/>
        </w:rPr>
        <w:t xml:space="preserve"> we traced the 33 → 25 t direct-N2O gap to a real bug in </w:t>
      </w:r>
      <w:r>
        <w:rPr>
          <w:rFonts w:ascii="Consolas" w:hAnsi="Consolas"/>
          <w:color w:val="1B4332"/>
          <w:sz w:val="20"/>
        </w:rPr>
        <w:t>calc_n_excretion</w:t>
      </w:r>
      <w:r>
        <w:rPr>
          <w:sz w:val="20"/>
        </w:rPr>
        <w:t xml:space="preserve">: it applied the DE digestibility factor inside the N-intake step, contradicting IPCC 2006 Eq 10.32 / 2019 Refinement Eq 10.32A which use </w:t>
      </w:r>
      <w:r>
        <w:rPr>
          <w:b/>
          <w:sz w:val="20"/>
        </w:rPr>
        <w:t>gross</w:t>
      </w:r>
      <w:r>
        <w:rPr>
          <w:sz w:val="20"/>
        </w:rPr>
        <w:t xml:space="preserve"> feed energy for N intake. DE belongs in the volatile-solids equation (Eq 10.24), not in N intake. The mix mis-weighted N intake by ~25-30 % and cascaded into direct/indirect N2O. Fixed in [R/calc_manure_n2o.R](R/calc_manure_n2o.R). After the fix, tool output matches Excel to within ±10 % on every emission source (direct N2O MM 30.71 vs 33.23; indirect N2O MM 15.42 vs 16.89; manure CH4 603 vs 573; enteric CH4 2660.22 vs 2660.88 — exact). A secondary issue in your specific template (</w:t>
      </w:r>
      <w:r>
        <w:rPr>
          <w:rFonts w:ascii="Consolas" w:hAnsi="Consolas"/>
          <w:color w:val="1B4332"/>
          <w:sz w:val="20"/>
        </w:rPr>
        <w:t>DINT_heif</w:t>
      </w:r>
      <w:r>
        <w:rPr>
          <w:sz w:val="20"/>
        </w:rPr>
        <w:t xml:space="preserve"> vs </w:t>
      </w:r>
      <w:r>
        <w:rPr>
          <w:rFonts w:ascii="Consolas" w:hAnsi="Consolas"/>
          <w:color w:val="1B4332"/>
          <w:sz w:val="20"/>
        </w:rPr>
        <w:t>DINT_heifer</w:t>
      </w:r>
      <w:r>
        <w:rPr>
          <w:sz w:val="20"/>
        </w:rPr>
        <w:t xml:space="preserve"> between Parameters and Manure_Management sheets) caused the heifer group's MMS allocation to fall back to default — added an upload-time warning in [R/app_server.R](R/app_server.R) so this kind of mismatch surfaces in the simulation log.</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9B9C80-04FF-487C-BB44-5528D626C7D6}"/>
</file>

<file path=customXml/itemProps3.xml><?xml version="1.0" encoding="utf-8"?>
<ds:datastoreItem xmlns:ds="http://schemas.openxmlformats.org/officeDocument/2006/customXml" ds:itemID="{D4E0584A-9789-4AFD-A7A0-A9761FDC3C1C}"/>
</file>

<file path=customXml/itemProps4.xml><?xml version="1.0" encoding="utf-8"?>
<ds:datastoreItem xmlns:ds="http://schemas.openxmlformats.org/officeDocument/2006/customXml" ds:itemID="{CA9F00EE-B565-4256-A90D-E93298EC648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