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 —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Continental region</w:t>
      </w:r>
      <w:r>
        <w:t xml:space="preserve"> </w:t>
      </w:r>
      <w:r>
        <w:t xml:space="preserve">(tick one — drives the IPCC BW deviation benchmark):</w:t>
      </w:r>
      <w:r>
        <w:t xml:space="preserve"> </w:t>
      </w:r>
      <w:r>
        <w:t xml:space="preserve">[ ] africa   [ ] asia   [ ] europe   [ ] americas   [ ] oceania   [ ] global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 —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 —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p>
      <w:pPr>
        <w:pStyle w:val="BodyText"/>
      </w:pPr>
      <w:r>
        <w:rPr>
          <w:b/>
          <w:bCs/>
        </w:rPr>
        <w:t xml:space="preserve">Optional — is the allocation itself uncertain?</w:t>
      </w:r>
      <w:r>
        <w:t xml:space="preserve"> </w:t>
      </w:r>
      <w:r>
        <w:t xml:space="preserve">If yes, give a range per share (e.g. </w:t>
      </w:r>
      <w:r>
        <w:t xml:space="preserve">“pasture 40 %, lower 30 %, upper 55 %”</w:t>
      </w:r>
      <w:r>
        <w:t xml:space="preserve">). The app samples each MMS within its range and renormalises every Monte Carlo iteration so the totals still sum to 100 %. Leave blank if you are confident in the central allocation.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Central %</w:t>
            </w:r>
          </w:p>
        </w:tc>
        <w:tc>
          <w:tcPr/>
          <w:p>
            <w:pPr>
              <w:pStyle w:val="Compact"/>
            </w:pPr>
            <w:r>
              <w:t xml:space="preserve">Lower %</w:t>
            </w:r>
          </w:p>
        </w:tc>
        <w:tc>
          <w:tcPr/>
          <w:p>
            <w:pPr>
              <w:pStyle w:val="Compact"/>
            </w:pPr>
            <w:r>
              <w:t xml:space="preserve">Upper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 —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 —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 —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 —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pregnant in the year (includes pregnant heifers) —</w:t>
      </w:r>
      <w:r>
        <w:t xml:space="preserve"> </w:t>
      </w:r>
      <w:r>
        <w:rPr>
          <w:rStyle w:val="VerbatimChar"/>
        </w:rPr>
        <w:t xml:space="preserve">pct_pregnant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 —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 —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 —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 —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 —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 —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Pasture/indirect 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Managed-storage manure-N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O values (the direct EF and the volatilisation / leaching fractions) are entered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per manure-management system</w:t>
      </w:r>
      <w:r>
        <w:rPr>
          <w:i/>
          <w:iCs/>
        </w:rPr>
        <w:t xml:space="preserve"> </w:t>
      </w:r>
      <w:r>
        <w:rPr>
          <w:i/>
          <w:iCs/>
        </w:rPr>
        <w:t xml:space="preserve">in the Manure Management section above, not as single Parameters values.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(a) No uncertainty estimates</w:t>
      </w:r>
      <w:r>
        <w:t xml:space="preserve"> </w:t>
      </w:r>
      <w:r>
        <w:t xml:space="preserve">— use IPCC suggested ±% from the catalogue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(b) Expert judgement ±%</w:t>
      </w:r>
      <w:r>
        <w:t xml:space="preserve"> </w:t>
      </w:r>
      <w:r>
        <w:t xml:space="preserve">— I’ll write a single ±% next to each value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(c) Measured confidence intervals</w:t>
      </w:r>
      <w:r>
        <w:t xml:space="preserve"> </w:t>
      </w:r>
      <w:r>
        <w:t xml:space="preserve">— I have explicit lower / upper bounds (or ± with sample size)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(d) A mix</w:t>
      </w:r>
      <w:r>
        <w:t xml:space="preserve"> </w:t>
      </w:r>
      <w:r>
        <w:t xml:space="preserve">—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2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3"/>
        </w:numPr>
      </w:pPr>
      <w:r>
        <w:t xml:space="preserve">N</w:t>
      </w:r>
    </w:p>
    <w:p>
      <w:pPr>
        <w:pStyle w:val="Compact"/>
        <w:numPr>
          <w:ilvl w:val="1"/>
          <w:numId w:val="1024"/>
        </w:numPr>
      </w:pPr>
      <w:r>
        <w:t xml:space="preserve">BW</w:t>
      </w:r>
    </w:p>
    <w:p>
      <w:pPr>
        <w:pStyle w:val="Compact"/>
        <w:numPr>
          <w:ilvl w:val="1"/>
          <w:numId w:val="1025"/>
        </w:numPr>
      </w:pPr>
      <w:r>
        <w:t xml:space="preserve">MW</w:t>
      </w:r>
    </w:p>
    <w:p>
      <w:pPr>
        <w:pStyle w:val="Compact"/>
        <w:numPr>
          <w:ilvl w:val="1"/>
          <w:numId w:val="1026"/>
        </w:numPr>
      </w:pPr>
      <w:r>
        <w:t xml:space="preserve">WG</w:t>
      </w:r>
    </w:p>
    <w:p>
      <w:pPr>
        <w:pStyle w:val="Compact"/>
        <w:numPr>
          <w:ilvl w:val="1"/>
          <w:numId w:val="1027"/>
        </w:numPr>
      </w:pPr>
      <w:r>
        <w:t xml:space="preserve">Milk</w:t>
      </w:r>
    </w:p>
    <w:p>
      <w:pPr>
        <w:pStyle w:val="Compact"/>
        <w:numPr>
          <w:ilvl w:val="1"/>
          <w:numId w:val="1028"/>
        </w:numPr>
      </w:pPr>
      <w:r>
        <w:t xml:space="preserve">Fat</w:t>
      </w:r>
    </w:p>
    <w:p>
      <w:pPr>
        <w:pStyle w:val="Compact"/>
        <w:numPr>
          <w:ilvl w:val="1"/>
          <w:numId w:val="1029"/>
        </w:numPr>
      </w:pPr>
      <w:r>
        <w:t xml:space="preserve">pct_pregnant</w:t>
      </w:r>
    </w:p>
    <w:p>
      <w:pPr>
        <w:pStyle w:val="Compact"/>
        <w:numPr>
          <w:ilvl w:val="1"/>
          <w:numId w:val="1030"/>
        </w:numPr>
      </w:pPr>
      <w:r>
        <w:t xml:space="preserve">DE</w:t>
      </w:r>
    </w:p>
    <w:p>
      <w:pPr>
        <w:pStyle w:val="Compact"/>
        <w:numPr>
          <w:ilvl w:val="1"/>
          <w:numId w:val="1031"/>
        </w:numPr>
      </w:pPr>
      <w:r>
        <w:t xml:space="preserve">CP</w:t>
      </w:r>
    </w:p>
    <w:p>
      <w:pPr>
        <w:pStyle w:val="Compact"/>
        <w:numPr>
          <w:ilvl w:val="1"/>
          <w:numId w:val="1032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customXml" Target="../customXml/item1.xml"/><Relationship Id="rId4" Type="http://schemas.openxmlformats.org/officeDocument/2006/relationships/fontTable" Target="fontTable.xml"/><Relationship Id="rId9" Type="http://schemas.openxmlformats.org/officeDocument/2006/relationships/hyperlink" Target="https://claude.ai/project/019e4594-d13d-761e-a6fb-71e242eb9804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9C85E551-6391-475A-B05B-46299CC4470F}"/>
</file>

<file path=customXml/itemProps2.xml><?xml version="1.0" encoding="utf-8"?>
<ds:datastoreItem xmlns:ds="http://schemas.openxmlformats.org/officeDocument/2006/customXml" ds:itemID="{E76104FF-5C6A-4ACF-A8C5-F20252CD9D40}"/>
</file>

<file path=customXml/itemProps3.xml><?xml version="1.0" encoding="utf-8"?>
<ds:datastoreItem xmlns:ds="http://schemas.openxmlformats.org/officeDocument/2006/customXml" ds:itemID="{1B0DC8F7-546A-40D1-9659-58A91D1A19ED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2026-06-01T12:21:30Z</dcterms:created>
  <dcterms:modified xsi:type="dcterms:W3CDTF">2026-06-01T12:21:30Z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1.2</vt:lpwstr>
  </property>
  <property fmtid="{D5CDD505-2E9C-101B-9397-08002B2CF9AE}" pid="7" name="output">
    <vt:lpwstr/>
  </property>
  <property fmtid="{D5CDD505-2E9C-101B-9397-08002B2CF9AE}" pid="8" name="subtitle">
    <vt:lpwstr>Pre-Flight Questionnaire — GMH Uncertainty Translator</vt:lpwstr>
  </property>
  <property fmtid="{D5CDD505-2E9C-101B-9397-08002B2CF9AE}" pid="9" name="ContentTypeId">
    <vt:lpwstr>0x0101006AAA32E7549EE6449AC68337FF671C5A</vt:lpwstr>
  </property>
</Properties>
</file>