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2D01B" w14:textId="6290AC61" w:rsidR="00730808" w:rsidRDefault="00996F4E" w:rsidP="001B6FC8">
      <w:pPr>
        <w:rPr>
          <w:rFonts w:ascii="Arial" w:hAnsi="Arial" w:cs="Arial"/>
          <w:b/>
          <w:bCs/>
          <w:sz w:val="20"/>
          <w:szCs w:val="20"/>
          <w:lang w:val="en-GB"/>
        </w:rPr>
      </w:pPr>
      <w:bookmarkStart w:id="0" w:name="_GoBack"/>
      <w:r w:rsidRPr="001B6FC8">
        <w:rPr>
          <w:rFonts w:ascii="Arial" w:hAnsi="Arial" w:cs="Arial"/>
          <w:b/>
          <w:bCs/>
          <w:sz w:val="20"/>
          <w:szCs w:val="20"/>
          <w:lang w:val="en-GB"/>
        </w:rPr>
        <w:t xml:space="preserve">Appendix </w:t>
      </w:r>
      <w:r w:rsidR="001B6FC8" w:rsidRPr="001B6FC8">
        <w:rPr>
          <w:rFonts w:ascii="Arial" w:hAnsi="Arial" w:cs="Arial"/>
          <w:b/>
          <w:bCs/>
          <w:sz w:val="20"/>
          <w:szCs w:val="20"/>
          <w:lang w:val="en-GB"/>
        </w:rPr>
        <w:t>D</w:t>
      </w:r>
      <w:r w:rsidRPr="001B6FC8">
        <w:rPr>
          <w:rFonts w:ascii="Arial" w:hAnsi="Arial" w:cs="Arial"/>
          <w:b/>
          <w:bCs/>
          <w:sz w:val="20"/>
          <w:szCs w:val="20"/>
          <w:lang w:val="en-GB"/>
        </w:rPr>
        <w:t xml:space="preserve">. </w:t>
      </w:r>
      <w:r w:rsidR="00730808" w:rsidRPr="00036AE3">
        <w:rPr>
          <w:rFonts w:ascii="Arial" w:hAnsi="Arial" w:cs="Arial"/>
          <w:b/>
          <w:bCs/>
          <w:sz w:val="20"/>
          <w:szCs w:val="20"/>
          <w:lang w:val="en-GB"/>
        </w:rPr>
        <w:t xml:space="preserve">Inverse Modelling: Methodological Details and </w:t>
      </w:r>
      <w:r w:rsidR="001B6FC8">
        <w:rPr>
          <w:rFonts w:ascii="Arial" w:hAnsi="Arial" w:cs="Arial"/>
          <w:b/>
          <w:bCs/>
          <w:sz w:val="20"/>
          <w:szCs w:val="20"/>
          <w:lang w:val="en-GB"/>
        </w:rPr>
        <w:t>Models</w:t>
      </w:r>
    </w:p>
    <w:p w14:paraId="5D065CB2" w14:textId="46E9952D" w:rsidR="00730808" w:rsidRPr="00802F6F" w:rsidRDefault="00730808" w:rsidP="00730808">
      <w:pPr>
        <w:spacing w:line="276" w:lineRule="auto"/>
        <w:jc w:val="both"/>
        <w:rPr>
          <w:rFonts w:ascii="Arial" w:hAnsi="Arial" w:cs="Arial"/>
          <w:sz w:val="20"/>
          <w:szCs w:val="20"/>
          <w:lang w:val="en-GB"/>
        </w:rPr>
      </w:pPr>
      <w:r w:rsidRPr="00AC766A">
        <w:rPr>
          <w:rFonts w:ascii="Arial" w:hAnsi="Arial" w:cs="Arial"/>
          <w:sz w:val="20"/>
          <w:szCs w:val="20"/>
          <w:lang w:val="en-GB"/>
        </w:rPr>
        <w:t xml:space="preserve">The </w:t>
      </w:r>
      <w:proofErr w:type="spellStart"/>
      <w:r w:rsidRPr="00AC766A">
        <w:rPr>
          <w:rFonts w:ascii="Arial" w:hAnsi="Arial" w:cs="Arial"/>
          <w:sz w:val="20"/>
          <w:szCs w:val="20"/>
          <w:lang w:val="en-GB"/>
        </w:rPr>
        <w:t>intratooth</w:t>
      </w:r>
      <w:proofErr w:type="spellEnd"/>
      <w:r w:rsidRPr="00AC766A">
        <w:rPr>
          <w:rFonts w:ascii="Arial" w:hAnsi="Arial" w:cs="Arial"/>
          <w:sz w:val="20"/>
          <w:szCs w:val="20"/>
          <w:lang w:val="en-GB"/>
        </w:rPr>
        <w:t xml:space="preserve"> δ</w:t>
      </w:r>
      <w:r w:rsidRPr="009D0997">
        <w:rPr>
          <w:rFonts w:ascii="Arial" w:hAnsi="Arial" w:cs="Arial"/>
          <w:sz w:val="20"/>
          <w:szCs w:val="20"/>
          <w:vertAlign w:val="superscript"/>
          <w:lang w:val="en-GB"/>
        </w:rPr>
        <w:t>18</w:t>
      </w:r>
      <w:r w:rsidRPr="00AC766A">
        <w:rPr>
          <w:rFonts w:ascii="Arial" w:hAnsi="Arial" w:cs="Arial"/>
          <w:sz w:val="20"/>
          <w:szCs w:val="20"/>
          <w:lang w:val="en-GB"/>
        </w:rPr>
        <w:t xml:space="preserve">O </w:t>
      </w:r>
      <w:r w:rsidRPr="00802F6F">
        <w:rPr>
          <w:rFonts w:ascii="Arial" w:hAnsi="Arial" w:cs="Arial"/>
          <w:sz w:val="20"/>
          <w:szCs w:val="20"/>
          <w:lang w:val="en-GB"/>
        </w:rPr>
        <w:t xml:space="preserve">profiles presented in this study were obtained through inverse modelling using an adapted version of the code published in reference </w:t>
      </w:r>
      <w:r w:rsidRPr="00802F6F">
        <w:rPr>
          <w:rFonts w:ascii="Arial" w:hAnsi="Arial" w:cs="Arial"/>
          <w:sz w:val="20"/>
          <w:szCs w:val="20"/>
          <w:lang w:val="en-GB"/>
        </w:rPr>
        <w:fldChar w:fldCharType="begin" w:fldLock="1"/>
      </w:r>
      <w:r w:rsidRPr="00802F6F">
        <w:rPr>
          <w:rFonts w:ascii="Arial" w:hAnsi="Arial" w:cs="Arial"/>
          <w:sz w:val="20"/>
          <w:szCs w:val="20"/>
          <w:lang w:val="en-GB"/>
        </w:rPr>
        <w:instrText>ADDIN CSL_CITATION {"citationItems":[{"id":"ITEM-1","itemData":{"DOI":"10.1016/j.jas.2005.03.015","ISSN":"03054403","abstract":"The carbon isotope fractionation between tooth enamel bioapatite, breath CO2, and diet was measured for voles, rabbits, pigs, and cattle on controlled diets. The measured fractionation (expressed as isotope enrichment ε*) between enamel and diet was 11.5 ± 0.3‰, 12.8 ± 0.7‰, 13.3 ± 0.3‰, and 14.6 ± 0.3‰ for these respective species. There is a 1:1 correlation between ε*breath-diet and ε*enamel-diet (r2 = 0.94, p &lt; 0.01), whereas our data do not resolve significant inter-species differences in ε*enamel-breath. These findings are consistent with the hypothesis that inter-species differences in ε*bioapatite-diet are primarily a result of differences in digestive physiology, rather than differences in the magnitude of fractionation between mineral and body fluid. © 2005 Elsevier Ltd. All rights reserved.","author":[{"dropping-particle":"","family":"Passey","given":"Benjamin H.","non-dropping-particle":"","parse-names":false,"suffix":""},{"dropping-particle":"","family":"Robinson","given":"Todd F.","non-dropping-particle":"","parse-names":false,"suffix":""},{"dropping-particle":"","family":"Ayliffe","given":"Linda K.","non-dropping-particle":"","parse-names":false,"suffix":""},{"dropping-particle":"","family":"Cerling","given":"Thure E.","non-dropping-particle":"","parse-names":false,"suffix":""},{"dropping-particle":"","family":"Sponheimer","given":"Matt","non-dropping-particle":"","parse-names":false,"suffix":""},{"dropping-particle":"","family":"Dearing","given":"M. Denise","non-dropping-particle":"","parse-names":false,"suffix":""},{"dropping-particle":"","family":"Roeder","given":"Beverly L.","non-dropping-particle":"","parse-names":false,"suffix":""},{"dropping-particle":"","family":"Ehleringer","given":"James R.","non-dropping-particle":"","parse-names":false,"suffix":""}],"container-title":"Journal of Archaeological Science","id":"ITEM-1","issue":"10","issued":{"date-parts":[["2005","10"]]},"page":"1459-1470","title":"Carbon isotope fractionation between diet, breath CO2, and bioapatite in different mammals","type":"article-journal","volume":"32"},"uris":["http://www.mendeley.com/documents/?uuid=e6e99aae-78bd-4cc9-8fdb-f1154ea16d18"]}],"mendeley":{"formattedCitation":"(Passey et al., 2005)","plainTextFormattedCitation":"(Passey et al., 2005)"},"properties":{"noteIndex":0},"schema":"https://github.com/citation-style-language/schema/raw/master/csl-citation.json"}</w:instrText>
      </w:r>
      <w:r w:rsidRPr="00802F6F">
        <w:rPr>
          <w:rFonts w:ascii="Arial" w:hAnsi="Arial" w:cs="Arial"/>
          <w:sz w:val="20"/>
          <w:szCs w:val="20"/>
          <w:lang w:val="en-GB"/>
        </w:rPr>
        <w:fldChar w:fldCharType="separate"/>
      </w:r>
      <w:r w:rsidRPr="00802F6F">
        <w:rPr>
          <w:rFonts w:ascii="Arial" w:hAnsi="Arial" w:cs="Arial"/>
          <w:noProof/>
          <w:sz w:val="20"/>
          <w:szCs w:val="20"/>
          <w:lang w:val="en-GB"/>
        </w:rPr>
        <w:t>(Passey et al., 2005)</w:t>
      </w:r>
      <w:r w:rsidRPr="00802F6F">
        <w:rPr>
          <w:rFonts w:ascii="Arial" w:hAnsi="Arial" w:cs="Arial"/>
          <w:sz w:val="20"/>
          <w:szCs w:val="20"/>
          <w:lang w:val="en-GB"/>
        </w:rPr>
        <w:fldChar w:fldCharType="end"/>
      </w:r>
      <w:r w:rsidRPr="00802F6F">
        <w:rPr>
          <w:rFonts w:ascii="Arial" w:hAnsi="Arial" w:cs="Arial"/>
          <w:sz w:val="20"/>
          <w:szCs w:val="20"/>
          <w:lang w:val="en-GB"/>
        </w:rPr>
        <w:t>. This mode</w:t>
      </w:r>
      <w:r w:rsidR="002D7CF0">
        <w:rPr>
          <w:rFonts w:ascii="Arial" w:hAnsi="Arial" w:cs="Arial"/>
          <w:sz w:val="20"/>
          <w:szCs w:val="20"/>
          <w:lang w:val="en-GB"/>
        </w:rPr>
        <w:t>l</w:t>
      </w:r>
      <w:r w:rsidRPr="00802F6F">
        <w:rPr>
          <w:rFonts w:ascii="Arial" w:hAnsi="Arial" w:cs="Arial"/>
          <w:sz w:val="20"/>
          <w:szCs w:val="20"/>
          <w:lang w:val="en-GB"/>
        </w:rPr>
        <w:t xml:space="preserve">ling approach allowed for </w:t>
      </w:r>
      <w:r w:rsidR="002D7CF0">
        <w:rPr>
          <w:rFonts w:ascii="Arial" w:hAnsi="Arial" w:cs="Arial"/>
          <w:sz w:val="20"/>
          <w:szCs w:val="20"/>
          <w:lang w:val="en-GB"/>
        </w:rPr>
        <w:t>correcting the damping effect and reconstructing</w:t>
      </w:r>
      <w:r w:rsidRPr="00802F6F">
        <w:rPr>
          <w:rFonts w:ascii="Arial" w:hAnsi="Arial" w:cs="Arial"/>
          <w:sz w:val="20"/>
          <w:szCs w:val="20"/>
          <w:lang w:val="en-GB"/>
        </w:rPr>
        <w:t xml:space="preserve"> the original δ18O input time series. The model utili</w:t>
      </w:r>
      <w:r w:rsidR="002D7CF0">
        <w:rPr>
          <w:rFonts w:ascii="Arial" w:hAnsi="Arial" w:cs="Arial"/>
          <w:sz w:val="20"/>
          <w:szCs w:val="20"/>
          <w:lang w:val="en-GB"/>
        </w:rPr>
        <w:t>s</w:t>
      </w:r>
      <w:r w:rsidRPr="00802F6F">
        <w:rPr>
          <w:rFonts w:ascii="Arial" w:hAnsi="Arial" w:cs="Arial"/>
          <w:sz w:val="20"/>
          <w:szCs w:val="20"/>
          <w:lang w:val="en-GB"/>
        </w:rPr>
        <w:t xml:space="preserve">es different </w:t>
      </w:r>
      <w:r>
        <w:rPr>
          <w:rFonts w:ascii="Arial" w:hAnsi="Arial" w:cs="Arial"/>
          <w:sz w:val="20"/>
          <w:szCs w:val="20"/>
          <w:lang w:val="en-GB"/>
        </w:rPr>
        <w:t xml:space="preserve">species-specific </w:t>
      </w:r>
      <w:r w:rsidRPr="00802F6F">
        <w:rPr>
          <w:rFonts w:ascii="Arial" w:hAnsi="Arial" w:cs="Arial"/>
          <w:sz w:val="20"/>
          <w:szCs w:val="20"/>
          <w:lang w:val="en-GB"/>
        </w:rPr>
        <w:t xml:space="preserve">parameters related to enamel formation, which vary between bovines and equids. </w:t>
      </w:r>
      <w:r w:rsidR="002D7CF0">
        <w:rPr>
          <w:rFonts w:ascii="Arial" w:hAnsi="Arial" w:cs="Arial"/>
          <w:sz w:val="20"/>
          <w:szCs w:val="20"/>
          <w:lang w:val="en-GB"/>
        </w:rPr>
        <w:t>Based on previous studies, these parameters have been established</w:t>
      </w:r>
      <w:r w:rsidRPr="00802F6F">
        <w:rPr>
          <w:rFonts w:ascii="Arial" w:hAnsi="Arial" w:cs="Arial"/>
          <w:sz w:val="20"/>
          <w:szCs w:val="20"/>
          <w:lang w:val="en-GB"/>
        </w:rPr>
        <w:t xml:space="preserve"> </w:t>
      </w:r>
      <w:r w:rsidRPr="00802F6F">
        <w:rPr>
          <w:rFonts w:ascii="Arial" w:hAnsi="Arial" w:cs="Arial"/>
          <w:sz w:val="20"/>
          <w:szCs w:val="20"/>
          <w:lang w:val="en-GB"/>
        </w:rPr>
        <w:fldChar w:fldCharType="begin" w:fldLock="1"/>
      </w:r>
      <w:r w:rsidRPr="00802F6F">
        <w:rPr>
          <w:rFonts w:ascii="Arial" w:hAnsi="Arial" w:cs="Arial"/>
          <w:sz w:val="20"/>
          <w:szCs w:val="20"/>
          <w:lang w:val="en-GB"/>
        </w:rPr>
        <w:instrText>ADDIN CSL_CITATION {"citationItems":[{"id":"ITEM-1","itemData":{"DOI":"10.1111/arcm.12151","ISSN":"0003813X","abstract":"A range of archaeological and palaeoclimatic studies use isotopic analyses of ungulate hypsodont tooth enamel. Such studies commonly assume a constant growth rate, though this has not been fully tested. Here, we use stable isotope analyses of sequential enamel samples to study horse tooth growth. We fit the data using models corresponding to constant and exponentially decreasing rates of growth, and compare the results to metrical data showing the geometry and timing of apposition. The results indicate enamel apposition and maturation advances at an exponentially decreasing rate. An understanding of this variable growth rate is crucial for interpreting isotopic data from equid teeth. © 2015 John Wiley","author":[{"dropping-particle":"","family":"Bendrey","given":"R.","non-dropping-particle":"","parse-names":false,"suffix":""},{"dropping-particle":"","family":"Vella","given":"D.","non-dropping-particle":"","parse-names":false,"suffix":""},{"dropping-particle":"","family":"Zazzo","given":"A.","non-dropping-particle":"","parse-names":false,"suffix":""},{"dropping-particle":"","family":"Balasse","given":"M.","non-dropping-particle":"","parse-names":false,"suffix":""},{"dropping-particle":"","family":"Lepetz","given":"S.","non-dropping-particle":"","parse-names":false,"suffix":""}],"container-title":"Archaeometry","id":"ITEM-1","issue":"6","issued":{"date-parts":[["2015","12"]]},"page":"1104-1124","title":"Exponentially decreasing tooth growth rate in horse teeth: implications for isotopic analyses","type":"article-journal","volume":"57"},"uris":["http://www.mendeley.com/documents/?uuid=79705027-6a48-46d2-9086-fb8a0a7d4abb"]},{"id":"ITEM-2","itemData":{"DOI":"10.1016/j.gca.2012.01.012","ISSN":"00167037","abstract":"Serial sampling and stable isotope analysis performed along the growth axis of vertebrate tooth enamel records differences attributed to seasonal variation in diet, climate or animal movement. Because several months are required to obtain mature enamel in large mammals, modifications in the isotopic composition of environmental parameters are not instantaneously recorded, and stable isotope analysis of tooth enamel returns a time-averaged signal attenuated in its amplitude relative to the input signal. For convenience, stable isotope profiles are usually determined on the side of the tooth where enamel is thickest. Here we investigate the possibility of improving the time resolution by targeting the side of the tooth where enamel is thinnest. Observation of developing third molars (M3) in sheep shows that the tooth growth rate is not constant but decreases exponentially, while the angle between the first layer of enamel deposited and the enamel-dentine junction increases as a tooth approaches its maximal length. We also noted differences in thickness and geometry of enamel growth between the mesial side (i.e., the side facing the M2) and the buccal side (i.e., the side facing the cheek) of the M3. Carbon and oxygen isotope variations were measured along the M3 teeth from eight sheep raised under controlled conditions. Intra-tooth variability was systematically larger along the mesial side and the difference in amplitude between the two sides was proportional to the time of exposure to the input signal. Although attenuated, the mesial side records variations in the environmental signal more faithfully than the buccal side. This approach can be adapted to other mammals whose teeth show lateral variation in enamel thickness and could potentially be used as an internal check for diagenesis. © 2012 Elsevier Ltd.","author":[{"dropping-particle":"","family":"Zazzo","given":"A.","non-dropping-particle":"","parse-names":false,"suffix":""},{"dropping-particle":"","family":"Bendrey","given":"R.","non-dropping-particle":"","parse-names":false,"suffix":""},{"dropping-particle":"","family":"Vella","given":"D.","non-dropping-particle":"","parse-names":false,"suffix":""},{"dropping-particle":"","family":"Moloney","given":"A.P.","non-dropping-particle":"","parse-names":false,"suffix":""},{"dropping-particle":"","family":"Monahan","given":"F.J.","non-dropping-particle":"","parse-names":false,"suffix":""},{"dropping-particle":"","family":"Schmidt","given":"O.","non-dropping-particle":"","parse-names":false,"suffix":""}],"container-title":"Geochimica et Cosmochimica Acta","id":"ITEM-2","issued":{"date-parts":[["2012","5"]]},"page":"1-13","publisher":"Elsevier Ltd","title":"A refined sampling strategy for intra-tooth stable isotope analysis of mammalian enamel","type":"article-journal","volume":"84"},"uris":["http://www.mendeley.com/documents/?uuid=219837c9-a5fe-496b-a749-d85bb5863fc5"]},{"id":"ITEM-3","itemData":{"DOI":"10.1016/S0016-7037(02)00933-X","ISBN":"0016-7037","ISSN":"00167037","abstract":"Temporal changes in the carbon and oxygen isotopic composition of an animal are an environmental and behavioral input signal that is recorded into the enamel of developing teeth. In this paper, we evaluate changes in phosphorus content and density along the axial lengths of three developing ungulate teeth to illustrate the protracted nature of mineral accumulation in a volume of developing enamel. The least mature enamel in these teeth contains by volume about 25% of the mineral mass of mature enamel, and the remaining 75% of the mineral accumulates during maturation. Using data from one of these teeth (a Hippopotamus amphibius canine), we develop a model for teeth growing at constant rate that describes how an input signal is recorded into tooth enamel. The model accounts for both the temporal and spatial patterns of amelogenesis (enamel formation) and the sampling geometry. The model shows that input signal attenuation occurs as a result of time-averaging during amelogenesis when the maturation interval is long compared to the duration of features in the input signal. Sampling does not induce significant attenuation, provided that the sampling interval is several times shorter than the maturation interval. We present a detailed δ13C and δ18O record for the H. amphibius canine and suggest possible input isotope signals that may have given rise to the measured isotope signal. Copyright © 2002 Elsevier Science Ltd.","author":[{"dropping-particle":"","family":"Passey","given":"Benjamin H.","non-dropping-particle":"","parse-names":false,"suffix":""},{"dropping-particle":"","family":"Cerling","given":"Thure E.","non-dropping-particle":"","parse-names":false,"suffix":""}],"container-title":"Geochimica et Cosmochimica Acta","id":"ITEM-3","issue":"18","issued":{"date-parts":[["2002","9"]]},"page":"3225-3234","title":"Tooth enamel mineralization in ungulates: implications for recovering a primary isotopic time-series","type":"article-journal","volume":"66"},"uris":["http://www.mendeley.com/documents/?uuid=56f2bae1-0e9e-4e61-a25c-f9b8dd2de206"]},{"id":"ITEM-4","itemData":{"DOI":"10.1016/S0016-7037(03)00443-5","ISSN":"00167037","author":[{"dropping-particle":"","family":"Kohn","given":"Matthew J.","non-dropping-particle":"","parse-names":false,"suffix":""}],"container-title":"Geochimica et Cosmochimica Acta","id":"ITEM-4","issue":"2","issued":{"date-parts":[["2004","1"]]},"page":"403-405","title":"Comment: Tooth Enamel Mineralization in Ungulates: Implications for Recovering a Primary Isotopic Time-Series, by B. H. Passey and T. E. Cerling (2002)","type":"article-journal","volume":"68"},"uris":["http://www.mendeley.com/documents/?uuid=cec88b43-da79-46f6-92de-2fa35f4ea3d3"]},{"id":"ITEM-5","itemData":{"DOI":"10.1016/j.gca.2013.09.032","ISBN":"00167037","ISSN":"00167037","abstract":"Stable carbon and oxygen isotope ratios in mammalian tooth enamel are commonly used to understand the diets and environments of modern and fossil animals. Isotope variation during the period of enamel formation can be recovered by intra-tooth microsampling along the direction of growth. However, conventional sampling of the enamel surface provides highly time-averaged records in part due to amelogenesis. We use backscattered electron imaging in the scanning electron microscope (BSE-SEM) to evaluate enamel mineralization in developing teeth from one rodent and two ungulates. Gray levels from BSE-SEM images suggest that the innermost enamel layer, &lt;20μm from the enamel-dentine junction, is highly mineralized early in enamel maturation and therefore may record a less attenuated isotopic signal than other layers. We sampled the right maxillary incisor from a woodrat subjected to an experimentally induced water-switch during the period of tooth development, and demonstrate that secondary ion mass spectrometry (SIMS) can be used to obtain δ18O values with 4-5-μm spots from mammalian tooth enamel. We also demonstrate that SIMS can be used to discretely sample the innermost enamel layer, which is too narrow for conventional microdrilling or laser ablation. An abrupt δ18O switch of 16.0% was captured in breath CO2, a proxy for body water, while a laser ablation enamel surface intra-tooth profile of the left incisor captured a δ18O range of 12.1%. The innermost enamel profile captured a δ18O range of 15.7%, which approaches the full magnitude of δ18O variation in the input signal. This approach will likely be most beneficial in taxa such as large mammalian herbivores, whose teeth are characterized by less rapid mineralization and therefore greater attenuation of the enamel isotope signal. © 2013 Elsevier Ltd.","author":[{"dropping-particle":"","family":"Blumenthal","given":"Scott A.","non-dropping-particle":"","parse-names":false,"suffix":""},{"dropping-particle":"","family":"Cerling","given":"Thure E.","non-dropping-particle":"","parse-names":false,"suffix":""},{"dropping-particle":"","family":"Chritz","given":"Kendra L.","non-dropping-particle":"","parse-names":false,"suffix":""},{"dropping-particle":"","family":"Bromage","given":"Timothy G.","non-dropping-particle":"","parse-names":false,"suffix":""},{"dropping-particle":"","family":"Kozdon","given":"Reinhard","non-dropping-particle":"","parse-names":false,"suffix":""},{"dropping-particle":"","family":"Valley","given":"John W.","non-dropping-particle":"","parse-names":false,"suffix":""}],"container-title":"Geochimica et Cosmochimica Acta","id":"ITEM-5","issued":{"date-parts":[["2014"]]},"page":"223-236","publisher":"Elsevier Ltd","title":"Stable isotope time-series in mammalian teeth: In situ δ18O from the innermost enamel layer","type":"article-journal","volume":"124"},"uris":["http://www.mendeley.com/documents/?uuid=88ab103f-5084-49a2-a6f3-876f77727c7b"]}],"mendeley":{"formattedCitation":"(Bendrey et al., 2015; Blumenthal et al., 2014; Kohn, 2004; Passey and Cerling, 2002; Zazzo et al., 2012)","plainTextFormattedCitation":"(Bendrey et al., 2015; Blumenthal et al., 2014; Kohn, 2004; Passey and Cerling, 2002; Zazzo et al., 2012)","previouslyFormattedCitation":"(Bendrey et al., 2015; Blumenthal et al., 2014; Kohn, 2004; Passey and Cerling, 2002; Zazzo et al., 2012)"},"properties":{"noteIndex":0},"schema":"https://github.com/citation-style-language/schema/raw/master/csl-citation.json"}</w:instrText>
      </w:r>
      <w:r w:rsidRPr="00802F6F">
        <w:rPr>
          <w:rFonts w:ascii="Arial" w:hAnsi="Arial" w:cs="Arial"/>
          <w:sz w:val="20"/>
          <w:szCs w:val="20"/>
          <w:lang w:val="en-GB"/>
        </w:rPr>
        <w:fldChar w:fldCharType="separate"/>
      </w:r>
      <w:r w:rsidRPr="00802F6F">
        <w:rPr>
          <w:rFonts w:ascii="Arial" w:hAnsi="Arial" w:cs="Arial"/>
          <w:noProof/>
          <w:sz w:val="20"/>
          <w:szCs w:val="20"/>
          <w:lang w:val="en-GB"/>
        </w:rPr>
        <w:t>(Bendrey et al., 2015; Blumenthal et al., 2014; Kohn, 2004; Passey and Cerling, 2002; Zazzo et al., 2012)</w:t>
      </w:r>
      <w:r w:rsidRPr="00802F6F">
        <w:rPr>
          <w:rFonts w:ascii="Arial" w:hAnsi="Arial" w:cs="Arial"/>
          <w:sz w:val="20"/>
          <w:szCs w:val="20"/>
          <w:lang w:val="en-GB"/>
        </w:rPr>
        <w:fldChar w:fldCharType="end"/>
      </w:r>
      <w:r w:rsidRPr="00802F6F">
        <w:rPr>
          <w:rFonts w:ascii="Arial" w:hAnsi="Arial" w:cs="Arial"/>
          <w:sz w:val="20"/>
          <w:szCs w:val="20"/>
          <w:lang w:val="en-GB"/>
        </w:rPr>
        <w:t xml:space="preserve">. For Bos/Bison sp., the initial mineral content of enamel is fixed at 25%, the enamel appositional length is set at 1.5 mm, and the maturation length is 25 mm. For </w:t>
      </w:r>
      <w:r w:rsidRPr="00886B78">
        <w:rPr>
          <w:rFonts w:ascii="Arial" w:hAnsi="Arial" w:cs="Arial"/>
          <w:i/>
          <w:iCs/>
          <w:sz w:val="20"/>
          <w:szCs w:val="20"/>
          <w:lang w:val="en-GB"/>
        </w:rPr>
        <w:t>Equus</w:t>
      </w:r>
      <w:r w:rsidRPr="00802F6F">
        <w:rPr>
          <w:rFonts w:ascii="Arial" w:hAnsi="Arial" w:cs="Arial"/>
          <w:sz w:val="20"/>
          <w:szCs w:val="20"/>
          <w:lang w:val="en-GB"/>
        </w:rPr>
        <w:t xml:space="preserve"> sp., the initial mineral content of enamel is fixed at 22%, the enamel appositional length is set at 6 mm, and the maturation length is 28 mm.</w:t>
      </w:r>
    </w:p>
    <w:p w14:paraId="581EFE0A" w14:textId="0E0D6CE0" w:rsidR="00730808" w:rsidRDefault="00730808" w:rsidP="00730808">
      <w:pPr>
        <w:spacing w:line="276" w:lineRule="auto"/>
        <w:jc w:val="both"/>
        <w:rPr>
          <w:rFonts w:ascii="Arial" w:hAnsi="Arial" w:cs="Arial"/>
          <w:sz w:val="20"/>
          <w:szCs w:val="20"/>
          <w:lang w:val="en-GB"/>
        </w:rPr>
      </w:pPr>
      <w:r w:rsidRPr="00802F6F">
        <w:rPr>
          <w:rFonts w:ascii="Arial" w:hAnsi="Arial" w:cs="Arial"/>
          <w:sz w:val="20"/>
          <w:szCs w:val="20"/>
          <w:lang w:val="en-GB"/>
        </w:rPr>
        <w:t>In addition, the model requires other variables related to sampling geometry</w:t>
      </w:r>
      <w:r w:rsidR="002D7CF0">
        <w:rPr>
          <w:rFonts w:ascii="Arial" w:hAnsi="Arial" w:cs="Arial"/>
          <w:sz w:val="20"/>
          <w:szCs w:val="20"/>
          <w:lang w:val="en-GB"/>
        </w:rPr>
        <w:t xml:space="preserve"> and</w:t>
      </w:r>
      <w:r w:rsidRPr="00802F6F">
        <w:rPr>
          <w:rFonts w:ascii="Arial" w:hAnsi="Arial" w:cs="Arial"/>
          <w:sz w:val="20"/>
          <w:szCs w:val="20"/>
          <w:lang w:val="en-GB"/>
        </w:rPr>
        <w:t xml:space="preserve"> error estimates derived from mass spectrometer measurements. The distance between samples varies for each tooth, but as a general trend, the sampling depth on the tooth enamel surface in the samples of this study represents approximately 70% of the total enamel depth. The standard deviation of the measurements obtained from the mass spectrometer was typically set at 0.12%, </w:t>
      </w:r>
      <w:r w:rsidR="002D7CF0">
        <w:rPr>
          <w:rFonts w:ascii="Arial" w:hAnsi="Arial" w:cs="Arial"/>
          <w:sz w:val="20"/>
          <w:szCs w:val="20"/>
          <w:lang w:val="en-GB"/>
        </w:rPr>
        <w:t>considering</w:t>
      </w:r>
      <w:r w:rsidRPr="00802F6F">
        <w:rPr>
          <w:rFonts w:ascii="Arial" w:hAnsi="Arial" w:cs="Arial"/>
          <w:sz w:val="20"/>
          <w:szCs w:val="20"/>
          <w:lang w:val="en-GB"/>
        </w:rPr>
        <w:t xml:space="preserve"> the uncertainty associated with the standards. Finally, the models require</w:t>
      </w:r>
      <w:r w:rsidRPr="006B0E85">
        <w:rPr>
          <w:rFonts w:ascii="Arial" w:hAnsi="Arial" w:cs="Arial"/>
          <w:sz w:val="20"/>
          <w:szCs w:val="20"/>
          <w:lang w:val="en-GB"/>
        </w:rPr>
        <w:t xml:space="preserve"> a damping factor that determines the </w:t>
      </w:r>
      <w:r w:rsidRPr="007A3244">
        <w:rPr>
          <w:rFonts w:ascii="Arial" w:hAnsi="Arial" w:cs="Arial"/>
          <w:sz w:val="20"/>
          <w:szCs w:val="20"/>
          <w:lang w:val="en-GB"/>
        </w:rPr>
        <w:t>cumulative damping along the isotopic profile by adjusting the measured error (</w:t>
      </w:r>
      <w:proofErr w:type="spellStart"/>
      <w:r w:rsidRPr="007A3244">
        <w:rPr>
          <w:rFonts w:ascii="Arial" w:hAnsi="Arial" w:cs="Arial"/>
          <w:sz w:val="20"/>
          <w:szCs w:val="20"/>
          <w:lang w:val="en-GB"/>
        </w:rPr>
        <w:t>Emeas</w:t>
      </w:r>
      <w:proofErr w:type="spellEnd"/>
      <w:r w:rsidRPr="007A3244">
        <w:rPr>
          <w:rFonts w:ascii="Arial" w:hAnsi="Arial" w:cs="Arial"/>
          <w:sz w:val="20"/>
          <w:szCs w:val="20"/>
          <w:lang w:val="en-GB"/>
        </w:rPr>
        <w:t>) to the prediction error (</w:t>
      </w:r>
      <w:proofErr w:type="spellStart"/>
      <w:r w:rsidRPr="007A3244">
        <w:rPr>
          <w:rFonts w:ascii="Arial" w:hAnsi="Arial" w:cs="Arial"/>
          <w:sz w:val="20"/>
          <w:szCs w:val="20"/>
          <w:lang w:val="en-GB"/>
        </w:rPr>
        <w:t>Epred</w:t>
      </w:r>
      <w:proofErr w:type="spellEnd"/>
      <w:r w:rsidRPr="007A3244">
        <w:rPr>
          <w:rFonts w:ascii="Arial" w:hAnsi="Arial" w:cs="Arial"/>
          <w:sz w:val="20"/>
          <w:szCs w:val="20"/>
          <w:lang w:val="en-GB"/>
        </w:rPr>
        <w:t xml:space="preserve">). </w:t>
      </w:r>
      <w:r w:rsidR="002D7CF0">
        <w:rPr>
          <w:rFonts w:ascii="Arial" w:hAnsi="Arial" w:cs="Arial"/>
          <w:sz w:val="20"/>
          <w:szCs w:val="20"/>
          <w:lang w:val="en-GB"/>
        </w:rPr>
        <w:t>The damping factor ranged from 0.001 to 0.1 in the teeth analysed in this study</w:t>
      </w:r>
      <w:r w:rsidRPr="007A3244">
        <w:rPr>
          <w:rFonts w:ascii="Arial" w:hAnsi="Arial" w:cs="Arial"/>
          <w:sz w:val="20"/>
          <w:szCs w:val="20"/>
          <w:lang w:val="en-GB"/>
        </w:rPr>
        <w:t>.</w:t>
      </w:r>
      <w:r>
        <w:rPr>
          <w:rFonts w:ascii="Arial" w:hAnsi="Arial" w:cs="Arial"/>
          <w:sz w:val="20"/>
          <w:szCs w:val="20"/>
          <w:lang w:val="en-GB"/>
        </w:rPr>
        <w:t xml:space="preserve"> </w:t>
      </w:r>
      <w:r w:rsidRPr="00FE623D">
        <w:rPr>
          <w:rFonts w:ascii="Arial" w:hAnsi="Arial" w:cs="Arial"/>
          <w:sz w:val="20"/>
          <w:szCs w:val="20"/>
          <w:lang w:val="en-GB"/>
        </w:rPr>
        <w:t>The most likely model solutions were selected, and summer and winter values were extracted from the δ</w:t>
      </w:r>
      <w:r w:rsidRPr="003F50FE">
        <w:rPr>
          <w:rFonts w:ascii="Arial" w:hAnsi="Arial" w:cs="Arial"/>
          <w:sz w:val="20"/>
          <w:szCs w:val="20"/>
          <w:vertAlign w:val="superscript"/>
          <w:lang w:val="en-GB"/>
        </w:rPr>
        <w:t>18</w:t>
      </w:r>
      <w:r w:rsidRPr="00FE623D">
        <w:rPr>
          <w:rFonts w:ascii="Arial" w:hAnsi="Arial" w:cs="Arial"/>
          <w:sz w:val="20"/>
          <w:szCs w:val="20"/>
          <w:lang w:val="en-GB"/>
        </w:rPr>
        <w:t>O profiles, considering the original peaks and troughs identified in the unmodelled δ</w:t>
      </w:r>
      <w:r w:rsidRPr="003F50FE">
        <w:rPr>
          <w:rFonts w:ascii="Arial" w:hAnsi="Arial" w:cs="Arial"/>
          <w:sz w:val="20"/>
          <w:szCs w:val="20"/>
          <w:vertAlign w:val="superscript"/>
          <w:lang w:val="en-GB"/>
        </w:rPr>
        <w:t>18</w:t>
      </w:r>
      <w:r w:rsidRPr="00FE623D">
        <w:rPr>
          <w:rFonts w:ascii="Arial" w:hAnsi="Arial" w:cs="Arial"/>
          <w:sz w:val="20"/>
          <w:szCs w:val="20"/>
          <w:lang w:val="en-GB"/>
        </w:rPr>
        <w:t>O profile. This approach was adopted to prevent the introduction of artificial peaks that the model may produce, particularly in teeth without a distinct sinusoidal shape.</w:t>
      </w:r>
    </w:p>
    <w:p w14:paraId="325A6185" w14:textId="77777777" w:rsidR="001A432E" w:rsidRDefault="001A432E" w:rsidP="00730808">
      <w:pPr>
        <w:spacing w:line="276" w:lineRule="auto"/>
        <w:jc w:val="both"/>
        <w:rPr>
          <w:rFonts w:ascii="DejaVu Sans Condensed" w:hAnsi="DejaVu Sans Condensed" w:cs="DejaVu Sans Condensed"/>
          <w:lang w:val="en-GB"/>
        </w:rPr>
      </w:pPr>
    </w:p>
    <w:p w14:paraId="5555DA57" w14:textId="77777777" w:rsidR="00C91CC4" w:rsidRDefault="00C91CC4">
      <w:pPr>
        <w:rPr>
          <w:rFonts w:ascii="Arial" w:hAnsi="Arial" w:cs="Arial"/>
          <w:b/>
          <w:bCs/>
          <w:sz w:val="20"/>
          <w:szCs w:val="20"/>
          <w:lang w:val="en-GB"/>
        </w:rPr>
      </w:pPr>
      <w:r>
        <w:rPr>
          <w:rFonts w:ascii="Arial" w:hAnsi="Arial" w:cs="Arial"/>
          <w:b/>
          <w:bCs/>
          <w:sz w:val="20"/>
          <w:szCs w:val="20"/>
          <w:lang w:val="en-GB"/>
        </w:rPr>
        <w:br w:type="page"/>
      </w:r>
    </w:p>
    <w:p w14:paraId="08F2F237" w14:textId="3AD4F46F" w:rsidR="00730808" w:rsidRDefault="00730808">
      <w:pPr>
        <w:rPr>
          <w:rFonts w:ascii="Arial" w:hAnsi="Arial" w:cs="Arial"/>
          <w:b/>
          <w:bCs/>
          <w:sz w:val="20"/>
          <w:szCs w:val="20"/>
        </w:rPr>
      </w:pPr>
      <w:proofErr w:type="spellStart"/>
      <w:r>
        <w:rPr>
          <w:rFonts w:ascii="Arial" w:hAnsi="Arial" w:cs="Arial"/>
          <w:b/>
          <w:bCs/>
          <w:sz w:val="20"/>
          <w:szCs w:val="20"/>
          <w:lang w:val="en-GB"/>
        </w:rPr>
        <w:lastRenderedPageBreak/>
        <w:t>Axlor</w:t>
      </w:r>
      <w:proofErr w:type="spellEnd"/>
      <w:r>
        <w:rPr>
          <w:rFonts w:ascii="Arial" w:hAnsi="Arial" w:cs="Arial"/>
          <w:b/>
          <w:bCs/>
          <w:sz w:val="20"/>
          <w:szCs w:val="20"/>
          <w:lang w:val="en-GB"/>
        </w:rPr>
        <w:t xml:space="preserve"> </w:t>
      </w:r>
    </w:p>
    <w:p w14:paraId="2CE8312A" w14:textId="77777777" w:rsidR="00884831" w:rsidRDefault="00884831" w:rsidP="005E137B">
      <w:pPr>
        <w:rPr>
          <w:rFonts w:ascii="Arial" w:hAnsi="Arial" w:cs="Arial"/>
          <w:b/>
          <w:bCs/>
          <w:sz w:val="20"/>
          <w:szCs w:val="20"/>
        </w:rPr>
      </w:pPr>
      <w:r>
        <w:rPr>
          <w:rFonts w:ascii="Arial" w:hAnsi="Arial" w:cs="Arial"/>
          <w:b/>
          <w:bCs/>
          <w:noProof/>
          <w:sz w:val="20"/>
          <w:szCs w:val="20"/>
        </w:rPr>
        <w:drawing>
          <wp:inline distT="0" distB="0" distL="0" distR="0" wp14:anchorId="26EF88BC" wp14:editId="79A7CC78">
            <wp:extent cx="5434641" cy="8229548"/>
            <wp:effectExtent l="0" t="0" r="0" b="635"/>
            <wp:docPr id="142708050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80503" name="Imagen 1" descr="Imagen que contiene Interfaz de usuario gráfic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9954" cy="8267879"/>
                    </a:xfrm>
                    <a:prstGeom prst="rect">
                      <a:avLst/>
                    </a:prstGeom>
                    <a:noFill/>
                  </pic:spPr>
                </pic:pic>
              </a:graphicData>
            </a:graphic>
          </wp:inline>
        </w:drawing>
      </w:r>
    </w:p>
    <w:p w14:paraId="6F861B65" w14:textId="77777777" w:rsidR="00884831" w:rsidRDefault="00884831" w:rsidP="005E137B">
      <w:pPr>
        <w:rPr>
          <w:rFonts w:ascii="Arial" w:hAnsi="Arial" w:cs="Arial"/>
          <w:b/>
          <w:bCs/>
          <w:sz w:val="20"/>
          <w:szCs w:val="20"/>
        </w:rPr>
      </w:pPr>
    </w:p>
    <w:p w14:paraId="34B7C070" w14:textId="77777777" w:rsidR="00884831" w:rsidRDefault="00884831" w:rsidP="005E137B">
      <w:pPr>
        <w:rPr>
          <w:rFonts w:ascii="Arial" w:hAnsi="Arial" w:cs="Arial"/>
          <w:b/>
          <w:bCs/>
          <w:sz w:val="20"/>
          <w:szCs w:val="20"/>
        </w:rPr>
      </w:pPr>
    </w:p>
    <w:p w14:paraId="53F9E661" w14:textId="4200D352" w:rsidR="005E137B" w:rsidRPr="005E137B" w:rsidRDefault="005E137B" w:rsidP="005E137B">
      <w:pPr>
        <w:rPr>
          <w:rFonts w:ascii="Arial" w:hAnsi="Arial" w:cs="Arial"/>
          <w:b/>
          <w:bCs/>
          <w:noProof/>
          <w:sz w:val="20"/>
          <w:szCs w:val="20"/>
        </w:rPr>
      </w:pPr>
      <w:r w:rsidRPr="003F50FE">
        <w:rPr>
          <w:rFonts w:ascii="Arial" w:hAnsi="Arial" w:cs="Arial"/>
          <w:b/>
          <w:bCs/>
          <w:sz w:val="20"/>
          <w:szCs w:val="20"/>
        </w:rPr>
        <w:lastRenderedPageBreak/>
        <w:t>El Castillo</w:t>
      </w:r>
    </w:p>
    <w:p w14:paraId="41CDE7DE" w14:textId="6EAC8E71" w:rsidR="005E137B" w:rsidRDefault="007B7FE9">
      <w:pPr>
        <w:rPr>
          <w:rFonts w:ascii="Arial" w:hAnsi="Arial" w:cs="Arial"/>
          <w:sz w:val="20"/>
          <w:szCs w:val="20"/>
          <w:lang w:val="en-GB"/>
        </w:rPr>
      </w:pPr>
      <w:r>
        <w:rPr>
          <w:rFonts w:ascii="Arial" w:hAnsi="Arial" w:cs="Arial"/>
          <w:noProof/>
          <w:sz w:val="20"/>
          <w:szCs w:val="20"/>
          <w:lang w:val="en-GB"/>
        </w:rPr>
        <w:drawing>
          <wp:inline distT="0" distB="0" distL="0" distR="0" wp14:anchorId="15724084" wp14:editId="40D2B668">
            <wp:extent cx="5391150" cy="8550275"/>
            <wp:effectExtent l="0" t="0" r="0" b="3175"/>
            <wp:docPr id="10469844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8550275"/>
                    </a:xfrm>
                    <a:prstGeom prst="rect">
                      <a:avLst/>
                    </a:prstGeom>
                    <a:noFill/>
                    <a:ln>
                      <a:noFill/>
                    </a:ln>
                  </pic:spPr>
                </pic:pic>
              </a:graphicData>
            </a:graphic>
          </wp:inline>
        </w:drawing>
      </w:r>
    </w:p>
    <w:p w14:paraId="00D270A5" w14:textId="264F3D90" w:rsidR="00F05F60" w:rsidRDefault="00F05F60">
      <w:pPr>
        <w:rPr>
          <w:rFonts w:ascii="Arial" w:hAnsi="Arial" w:cs="Arial"/>
          <w:sz w:val="20"/>
          <w:szCs w:val="20"/>
          <w:lang w:val="en-GB"/>
        </w:rPr>
      </w:pPr>
    </w:p>
    <w:p w14:paraId="48F984B8" w14:textId="276564A8" w:rsidR="00120010" w:rsidRDefault="00120010">
      <w:pPr>
        <w:rPr>
          <w:rFonts w:ascii="Arial" w:hAnsi="Arial" w:cs="Arial"/>
          <w:sz w:val="20"/>
          <w:szCs w:val="20"/>
          <w:lang w:val="en-GB"/>
        </w:rPr>
      </w:pPr>
    </w:p>
    <w:p w14:paraId="182F1F26" w14:textId="1B571467" w:rsidR="00F05F60" w:rsidRDefault="00E63017">
      <w:pPr>
        <w:rPr>
          <w:rFonts w:ascii="Arial" w:hAnsi="Arial" w:cs="Arial"/>
          <w:sz w:val="20"/>
          <w:szCs w:val="20"/>
          <w:lang w:val="en-GB"/>
        </w:rPr>
      </w:pPr>
      <w:r w:rsidRPr="00E63017">
        <w:rPr>
          <w:rFonts w:ascii="Arial" w:hAnsi="Arial" w:cs="Arial"/>
          <w:noProof/>
          <w:sz w:val="20"/>
          <w:szCs w:val="20"/>
          <w:lang w:val="en-GB"/>
        </w:rPr>
        <w:drawing>
          <wp:inline distT="0" distB="0" distL="0" distR="0" wp14:anchorId="76B66C5C" wp14:editId="3C3D9F96">
            <wp:extent cx="5349923" cy="6246455"/>
            <wp:effectExtent l="0" t="0" r="0" b="0"/>
            <wp:docPr id="171130633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06334" name=""/>
                    <pic:cNvPicPr/>
                  </pic:nvPicPr>
                  <pic:blipFill rotWithShape="1">
                    <a:blip r:embed="rId13">
                      <a:extLst>
                        <a:ext uri="{96DAC541-7B7A-43D3-8B79-37D633B846F1}">
                          <asvg:svgBlip xmlns:asvg="http://schemas.microsoft.com/office/drawing/2016/SVG/main" r:embed="rId14"/>
                        </a:ext>
                      </a:extLst>
                    </a:blip>
                    <a:srcRect t="9019" r="12035" b="18366"/>
                    <a:stretch/>
                  </pic:blipFill>
                  <pic:spPr bwMode="auto">
                    <a:xfrm>
                      <a:off x="0" y="0"/>
                      <a:ext cx="5359189" cy="6257274"/>
                    </a:xfrm>
                    <a:prstGeom prst="rect">
                      <a:avLst/>
                    </a:prstGeom>
                    <a:ln>
                      <a:noFill/>
                    </a:ln>
                    <a:extLst>
                      <a:ext uri="{53640926-AAD7-44D8-BBD7-CCE9431645EC}">
                        <a14:shadowObscured xmlns:a14="http://schemas.microsoft.com/office/drawing/2010/main"/>
                      </a:ext>
                    </a:extLst>
                  </pic:spPr>
                </pic:pic>
              </a:graphicData>
            </a:graphic>
          </wp:inline>
        </w:drawing>
      </w:r>
    </w:p>
    <w:p w14:paraId="7EEADEA3" w14:textId="136C1239" w:rsidR="00746A0E" w:rsidRDefault="00746A0E">
      <w:pPr>
        <w:rPr>
          <w:rFonts w:ascii="Arial" w:hAnsi="Arial" w:cs="Arial"/>
          <w:sz w:val="20"/>
          <w:szCs w:val="20"/>
          <w:lang w:val="en-GB"/>
        </w:rPr>
      </w:pPr>
    </w:p>
    <w:p w14:paraId="3403C3B0" w14:textId="0F770C82" w:rsidR="00746A0E" w:rsidRDefault="00746A0E">
      <w:pPr>
        <w:rPr>
          <w:rFonts w:ascii="Arial" w:hAnsi="Arial" w:cs="Arial"/>
          <w:sz w:val="20"/>
          <w:szCs w:val="20"/>
          <w:lang w:val="en-GB"/>
        </w:rPr>
      </w:pPr>
    </w:p>
    <w:p w14:paraId="65279B56" w14:textId="3B7F105A" w:rsidR="00746A0E" w:rsidRDefault="00746A0E">
      <w:pPr>
        <w:rPr>
          <w:rFonts w:ascii="Arial" w:hAnsi="Arial" w:cs="Arial"/>
          <w:sz w:val="20"/>
          <w:szCs w:val="20"/>
          <w:lang w:val="en-GB"/>
        </w:rPr>
      </w:pPr>
    </w:p>
    <w:p w14:paraId="14A32BEF" w14:textId="52D91E21" w:rsidR="00746A0E" w:rsidRDefault="00746A0E">
      <w:pPr>
        <w:rPr>
          <w:rFonts w:ascii="Arial" w:hAnsi="Arial" w:cs="Arial"/>
          <w:sz w:val="20"/>
          <w:szCs w:val="20"/>
          <w:lang w:val="en-GB"/>
        </w:rPr>
      </w:pPr>
    </w:p>
    <w:p w14:paraId="214E6800" w14:textId="77777777" w:rsidR="00E63017" w:rsidRDefault="00E63017">
      <w:pPr>
        <w:rPr>
          <w:rFonts w:ascii="Arial" w:hAnsi="Arial" w:cs="Arial"/>
          <w:b/>
          <w:bCs/>
          <w:sz w:val="20"/>
          <w:szCs w:val="20"/>
          <w:lang w:val="en-GB"/>
        </w:rPr>
      </w:pPr>
      <w:r>
        <w:rPr>
          <w:rFonts w:ascii="Arial" w:hAnsi="Arial" w:cs="Arial"/>
          <w:b/>
          <w:bCs/>
          <w:sz w:val="20"/>
          <w:szCs w:val="20"/>
          <w:lang w:val="en-GB"/>
        </w:rPr>
        <w:br w:type="page"/>
      </w:r>
    </w:p>
    <w:p w14:paraId="62847AF8" w14:textId="2320183C" w:rsidR="003F50FE" w:rsidRPr="00120010" w:rsidRDefault="003F50FE" w:rsidP="003F50FE">
      <w:pPr>
        <w:rPr>
          <w:rFonts w:ascii="Arial" w:hAnsi="Arial" w:cs="Arial"/>
          <w:noProof/>
          <w:sz w:val="20"/>
          <w:szCs w:val="20"/>
          <w:lang w:val="en-GB"/>
        </w:rPr>
      </w:pPr>
      <w:proofErr w:type="spellStart"/>
      <w:r>
        <w:rPr>
          <w:rFonts w:ascii="Arial" w:hAnsi="Arial" w:cs="Arial"/>
          <w:b/>
          <w:bCs/>
          <w:sz w:val="20"/>
          <w:szCs w:val="20"/>
          <w:lang w:val="en-GB"/>
        </w:rPr>
        <w:lastRenderedPageBreak/>
        <w:t>Labeko</w:t>
      </w:r>
      <w:proofErr w:type="spellEnd"/>
      <w:r>
        <w:rPr>
          <w:rFonts w:ascii="Arial" w:hAnsi="Arial" w:cs="Arial"/>
          <w:b/>
          <w:bCs/>
          <w:sz w:val="20"/>
          <w:szCs w:val="20"/>
          <w:lang w:val="en-GB"/>
        </w:rPr>
        <w:t xml:space="preserve"> </w:t>
      </w:r>
      <w:proofErr w:type="spellStart"/>
      <w:r>
        <w:rPr>
          <w:rFonts w:ascii="Arial" w:hAnsi="Arial" w:cs="Arial"/>
          <w:b/>
          <w:bCs/>
          <w:sz w:val="20"/>
          <w:szCs w:val="20"/>
          <w:lang w:val="en-GB"/>
        </w:rPr>
        <w:t>Koba</w:t>
      </w:r>
      <w:proofErr w:type="spellEnd"/>
    </w:p>
    <w:p w14:paraId="0F6E7482" w14:textId="35DE3632" w:rsidR="003F50FE" w:rsidRDefault="0023238C" w:rsidP="003F50FE">
      <w:pPr>
        <w:rPr>
          <w:rFonts w:ascii="Arial" w:hAnsi="Arial" w:cs="Arial"/>
          <w:sz w:val="20"/>
          <w:szCs w:val="20"/>
          <w:lang w:val="en-GB"/>
        </w:rPr>
      </w:pPr>
      <w:r>
        <w:rPr>
          <w:rFonts w:ascii="Arial" w:hAnsi="Arial" w:cs="Arial"/>
          <w:noProof/>
          <w:sz w:val="20"/>
          <w:szCs w:val="20"/>
          <w:lang w:val="en-GB"/>
        </w:rPr>
        <w:drawing>
          <wp:inline distT="0" distB="0" distL="0" distR="0" wp14:anchorId="153E5610" wp14:editId="5CF2435B">
            <wp:extent cx="5084629" cy="8537944"/>
            <wp:effectExtent l="0" t="0" r="1905" b="0"/>
            <wp:docPr id="6642906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4629" cy="8537944"/>
                    </a:xfrm>
                    <a:prstGeom prst="rect">
                      <a:avLst/>
                    </a:prstGeom>
                    <a:noFill/>
                    <a:ln>
                      <a:noFill/>
                    </a:ln>
                  </pic:spPr>
                </pic:pic>
              </a:graphicData>
            </a:graphic>
          </wp:inline>
        </w:drawing>
      </w:r>
    </w:p>
    <w:p w14:paraId="12023B7F" w14:textId="77777777" w:rsidR="000C0D84" w:rsidRDefault="000C0D84">
      <w:pPr>
        <w:rPr>
          <w:rFonts w:ascii="Arial" w:hAnsi="Arial" w:cs="Arial"/>
          <w:b/>
          <w:bCs/>
          <w:sz w:val="20"/>
          <w:szCs w:val="20"/>
          <w:lang w:val="en-GB"/>
        </w:rPr>
      </w:pPr>
      <w:r>
        <w:rPr>
          <w:rFonts w:ascii="Arial" w:hAnsi="Arial" w:cs="Arial"/>
          <w:b/>
          <w:bCs/>
          <w:sz w:val="20"/>
          <w:szCs w:val="20"/>
          <w:lang w:val="en-GB"/>
        </w:rPr>
        <w:br w:type="page"/>
      </w:r>
    </w:p>
    <w:p w14:paraId="72462489" w14:textId="0A87ACF0" w:rsidR="00120010" w:rsidRDefault="00120010" w:rsidP="00120010">
      <w:pPr>
        <w:rPr>
          <w:rFonts w:ascii="Arial" w:hAnsi="Arial" w:cs="Arial"/>
          <w:noProof/>
          <w:sz w:val="20"/>
          <w:szCs w:val="20"/>
        </w:rPr>
      </w:pPr>
      <w:proofErr w:type="spellStart"/>
      <w:r w:rsidRPr="00996F4E">
        <w:rPr>
          <w:rFonts w:ascii="Arial" w:hAnsi="Arial" w:cs="Arial"/>
          <w:b/>
          <w:bCs/>
          <w:sz w:val="20"/>
          <w:szCs w:val="20"/>
          <w:lang w:val="en-GB"/>
        </w:rPr>
        <w:lastRenderedPageBreak/>
        <w:t>Canyars</w:t>
      </w:r>
      <w:proofErr w:type="spellEnd"/>
    </w:p>
    <w:p w14:paraId="07F47F34" w14:textId="743E28EA" w:rsidR="00120010" w:rsidRDefault="00FB233D" w:rsidP="00120010">
      <w:pPr>
        <w:rPr>
          <w:rFonts w:ascii="Arial" w:hAnsi="Arial" w:cs="Arial"/>
          <w:sz w:val="20"/>
          <w:szCs w:val="20"/>
          <w:lang w:val="en-GB"/>
        </w:rPr>
      </w:pPr>
      <w:r>
        <w:rPr>
          <w:rFonts w:ascii="Arial" w:hAnsi="Arial" w:cs="Arial"/>
          <w:noProof/>
          <w:sz w:val="20"/>
          <w:szCs w:val="20"/>
          <w:lang w:val="en-GB"/>
        </w:rPr>
        <w:drawing>
          <wp:inline distT="0" distB="0" distL="0" distR="0" wp14:anchorId="369F8924" wp14:editId="3D266053">
            <wp:extent cx="5172136" cy="4184650"/>
            <wp:effectExtent l="0" t="0" r="9525" b="6350"/>
            <wp:docPr id="13985853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9501" cy="4190609"/>
                    </a:xfrm>
                    <a:prstGeom prst="rect">
                      <a:avLst/>
                    </a:prstGeom>
                    <a:noFill/>
                    <a:ln>
                      <a:noFill/>
                    </a:ln>
                  </pic:spPr>
                </pic:pic>
              </a:graphicData>
            </a:graphic>
          </wp:inline>
        </w:drawing>
      </w:r>
    </w:p>
    <w:p w14:paraId="4F51CFD5" w14:textId="361C09EA" w:rsidR="00746A0E" w:rsidRPr="00746A0E" w:rsidRDefault="00746A0E">
      <w:pPr>
        <w:rPr>
          <w:rFonts w:ascii="Arial" w:hAnsi="Arial" w:cs="Arial"/>
          <w:b/>
          <w:bCs/>
          <w:sz w:val="20"/>
          <w:szCs w:val="20"/>
          <w:lang w:val="en-GB"/>
        </w:rPr>
      </w:pPr>
      <w:r>
        <w:rPr>
          <w:rFonts w:ascii="Arial" w:hAnsi="Arial" w:cs="Arial"/>
          <w:b/>
          <w:bCs/>
          <w:sz w:val="20"/>
          <w:szCs w:val="20"/>
          <w:lang w:val="en-GB"/>
        </w:rPr>
        <w:t>El Otero</w:t>
      </w:r>
    </w:p>
    <w:p w14:paraId="625CA98F" w14:textId="77777777" w:rsidR="004A4DE6" w:rsidRDefault="00746A0E">
      <w:pPr>
        <w:rPr>
          <w:rFonts w:ascii="Arial" w:hAnsi="Arial" w:cs="Arial"/>
          <w:sz w:val="20"/>
          <w:szCs w:val="20"/>
          <w:lang w:val="en-GB"/>
        </w:rPr>
      </w:pPr>
      <w:r>
        <w:rPr>
          <w:rFonts w:ascii="Arial" w:hAnsi="Arial" w:cs="Arial"/>
          <w:noProof/>
          <w:sz w:val="20"/>
          <w:szCs w:val="20"/>
          <w:lang w:val="en-GB"/>
        </w:rPr>
        <w:drawing>
          <wp:inline distT="0" distB="0" distL="0" distR="0" wp14:anchorId="77319B43" wp14:editId="7584A7D9">
            <wp:extent cx="5036024" cy="196016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3106" cy="1990166"/>
                    </a:xfrm>
                    <a:prstGeom prst="rect">
                      <a:avLst/>
                    </a:prstGeom>
                    <a:noFill/>
                  </pic:spPr>
                </pic:pic>
              </a:graphicData>
            </a:graphic>
          </wp:inline>
        </w:drawing>
      </w:r>
    </w:p>
    <w:p w14:paraId="56A46C96" w14:textId="66026B69" w:rsidR="004A4DE6" w:rsidRDefault="004A4DE6">
      <w:pPr>
        <w:rPr>
          <w:rFonts w:ascii="Arial" w:hAnsi="Arial" w:cs="Arial"/>
          <w:sz w:val="20"/>
          <w:szCs w:val="20"/>
          <w:lang w:val="en-GB"/>
        </w:rPr>
      </w:pPr>
      <w:r>
        <w:rPr>
          <w:rFonts w:ascii="Arial" w:hAnsi="Arial" w:cs="Arial"/>
          <w:b/>
          <w:bCs/>
          <w:sz w:val="20"/>
          <w:szCs w:val="20"/>
          <w:lang w:val="en-GB"/>
        </w:rPr>
        <w:t>Aitzbitarte III</w:t>
      </w:r>
    </w:p>
    <w:p w14:paraId="5880491E" w14:textId="4EC7CEFD" w:rsidR="00120010" w:rsidRDefault="004A4DE6" w:rsidP="004A4DE6">
      <w:pPr>
        <w:jc w:val="center"/>
        <w:rPr>
          <w:rFonts w:ascii="Arial" w:hAnsi="Arial" w:cs="Arial"/>
          <w:sz w:val="20"/>
          <w:szCs w:val="20"/>
          <w:lang w:val="en-GB"/>
        </w:rPr>
      </w:pPr>
      <w:r>
        <w:rPr>
          <w:rFonts w:ascii="Arial" w:hAnsi="Arial" w:cs="Arial"/>
          <w:noProof/>
          <w:sz w:val="20"/>
          <w:szCs w:val="20"/>
          <w:lang w:val="en-GB"/>
        </w:rPr>
        <w:drawing>
          <wp:inline distT="0" distB="0" distL="0" distR="0" wp14:anchorId="09AB3445" wp14:editId="3010ACBF">
            <wp:extent cx="2524836" cy="1963761"/>
            <wp:effectExtent l="0" t="0" r="8890" b="0"/>
            <wp:docPr id="17263913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7301" cy="1965678"/>
                    </a:xfrm>
                    <a:prstGeom prst="rect">
                      <a:avLst/>
                    </a:prstGeom>
                    <a:noFill/>
                    <a:ln>
                      <a:noFill/>
                    </a:ln>
                  </pic:spPr>
                </pic:pic>
              </a:graphicData>
            </a:graphic>
          </wp:inline>
        </w:drawing>
      </w:r>
    </w:p>
    <w:p w14:paraId="7ADC50CB" w14:textId="77777777" w:rsidR="00120010" w:rsidRPr="00D97E1B" w:rsidRDefault="00120010" w:rsidP="00120010">
      <w:pPr>
        <w:rPr>
          <w:rFonts w:ascii="Arial" w:hAnsi="Arial" w:cs="Arial"/>
          <w:b/>
          <w:bCs/>
          <w:sz w:val="20"/>
          <w:szCs w:val="20"/>
          <w:lang w:val="en-GB"/>
        </w:rPr>
      </w:pPr>
    </w:p>
    <w:p w14:paraId="0DBB1A40" w14:textId="3CD97ECA" w:rsidR="008C3EFD" w:rsidRPr="009629FE" w:rsidRDefault="00F3694E" w:rsidP="00F3694E">
      <w:pPr>
        <w:jc w:val="both"/>
        <w:rPr>
          <w:rFonts w:ascii="Arial Narrow" w:hAnsi="Arial Narrow"/>
          <w:b/>
          <w:bCs/>
          <w:sz w:val="20"/>
          <w:szCs w:val="20"/>
        </w:rPr>
      </w:pPr>
      <w:proofErr w:type="spellStart"/>
      <w:r w:rsidRPr="009629FE">
        <w:rPr>
          <w:rFonts w:ascii="Arial" w:hAnsi="Arial" w:cs="Arial"/>
          <w:b/>
          <w:bCs/>
          <w:sz w:val="20"/>
          <w:szCs w:val="20"/>
        </w:rPr>
        <w:t>References</w:t>
      </w:r>
      <w:proofErr w:type="spellEnd"/>
      <w:r w:rsidRPr="009629FE">
        <w:rPr>
          <w:rFonts w:ascii="Arial" w:hAnsi="Arial" w:cs="Arial"/>
          <w:b/>
          <w:bCs/>
          <w:sz w:val="20"/>
          <w:szCs w:val="20"/>
        </w:rPr>
        <w:t xml:space="preserve"> </w:t>
      </w:r>
    </w:p>
    <w:p w14:paraId="1D6A3FEF" w14:textId="6EEB7F37" w:rsidR="009D0997" w:rsidRPr="00886B78" w:rsidRDefault="008C3EFD" w:rsidP="009D0997">
      <w:pPr>
        <w:widowControl w:val="0"/>
        <w:autoSpaceDE w:val="0"/>
        <w:autoSpaceDN w:val="0"/>
        <w:adjustRightInd w:val="0"/>
        <w:spacing w:line="240" w:lineRule="auto"/>
        <w:ind w:left="480" w:hanging="480"/>
        <w:rPr>
          <w:rFonts w:ascii="Arial" w:hAnsi="Arial" w:cs="Arial"/>
          <w:noProof/>
          <w:sz w:val="18"/>
          <w:szCs w:val="24"/>
          <w:lang w:val="en-GB"/>
        </w:rPr>
      </w:pPr>
      <w:r w:rsidRPr="006B0E85">
        <w:rPr>
          <w:rFonts w:ascii="Arial" w:hAnsi="Arial" w:cs="Arial"/>
          <w:sz w:val="18"/>
          <w:szCs w:val="18"/>
          <w:lang w:val="en-GB"/>
        </w:rPr>
        <w:fldChar w:fldCharType="begin" w:fldLock="1"/>
      </w:r>
      <w:r w:rsidRPr="006B0E85">
        <w:rPr>
          <w:rFonts w:ascii="Arial" w:hAnsi="Arial" w:cs="Arial"/>
          <w:sz w:val="18"/>
          <w:szCs w:val="18"/>
        </w:rPr>
        <w:instrText xml:space="preserve">ADDIN Mendeley Bibliography CSL_BIBLIOGRAPHY </w:instrText>
      </w:r>
      <w:r w:rsidRPr="006B0E85">
        <w:rPr>
          <w:rFonts w:ascii="Arial" w:hAnsi="Arial" w:cs="Arial"/>
          <w:sz w:val="18"/>
          <w:szCs w:val="18"/>
          <w:lang w:val="en-GB"/>
        </w:rPr>
        <w:fldChar w:fldCharType="separate"/>
      </w:r>
      <w:r w:rsidR="009D0997" w:rsidRPr="009D0997">
        <w:rPr>
          <w:rFonts w:ascii="Arial" w:hAnsi="Arial" w:cs="Arial"/>
          <w:noProof/>
          <w:sz w:val="18"/>
          <w:szCs w:val="24"/>
        </w:rPr>
        <w:t xml:space="preserve">Bendrey, R., Vella, D., Zazzo, A., Balasse, M., Lepetz, S., 2015. </w:t>
      </w:r>
      <w:r w:rsidR="009D0997" w:rsidRPr="00886B78">
        <w:rPr>
          <w:rFonts w:ascii="Arial" w:hAnsi="Arial" w:cs="Arial"/>
          <w:noProof/>
          <w:sz w:val="18"/>
          <w:szCs w:val="24"/>
          <w:lang w:val="en-GB"/>
        </w:rPr>
        <w:t>Exponentially decreasing tooth growth rate in horse teeth: implications for isotopic analyses. Archaeometry 57, 1104–1124. https://doi.org/10.1111/arcm.12151</w:t>
      </w:r>
    </w:p>
    <w:p w14:paraId="10236CC6" w14:textId="77777777" w:rsidR="009D0997" w:rsidRPr="00886B78" w:rsidRDefault="009D0997" w:rsidP="009D0997">
      <w:pPr>
        <w:widowControl w:val="0"/>
        <w:autoSpaceDE w:val="0"/>
        <w:autoSpaceDN w:val="0"/>
        <w:adjustRightInd w:val="0"/>
        <w:spacing w:line="240" w:lineRule="auto"/>
        <w:ind w:left="480" w:hanging="480"/>
        <w:rPr>
          <w:rFonts w:ascii="Arial" w:hAnsi="Arial" w:cs="Arial"/>
          <w:noProof/>
          <w:sz w:val="18"/>
          <w:szCs w:val="24"/>
          <w:lang w:val="en-GB"/>
        </w:rPr>
      </w:pPr>
      <w:r w:rsidRPr="00886B78">
        <w:rPr>
          <w:rFonts w:ascii="Arial" w:hAnsi="Arial" w:cs="Arial"/>
          <w:noProof/>
          <w:sz w:val="18"/>
          <w:szCs w:val="24"/>
          <w:lang w:val="en-GB"/>
        </w:rPr>
        <w:t xml:space="preserve">Blumenthal, S.A., Cerling, T.E., Chritz, K.L., Bromage, T.G., Kozdon, R., Valley, J.W., 2014. Stable isotope time-series in mammalian teeth: In situ </w:t>
      </w:r>
      <w:r w:rsidRPr="009D0997">
        <w:rPr>
          <w:rFonts w:ascii="Arial" w:hAnsi="Arial" w:cs="Arial"/>
          <w:noProof/>
          <w:sz w:val="18"/>
          <w:szCs w:val="24"/>
        </w:rPr>
        <w:t>δ</w:t>
      </w:r>
      <w:r w:rsidRPr="00886B78">
        <w:rPr>
          <w:rFonts w:ascii="Arial" w:hAnsi="Arial" w:cs="Arial"/>
          <w:noProof/>
          <w:sz w:val="18"/>
          <w:szCs w:val="24"/>
          <w:lang w:val="en-GB"/>
        </w:rPr>
        <w:t>18O from the innermost enamel layer. Geochim. Cosmochim. Acta 124, 223–236. https://doi.org/10.1016/j.gca.2013.09.032</w:t>
      </w:r>
    </w:p>
    <w:p w14:paraId="3A109D34" w14:textId="77777777" w:rsidR="009D0997" w:rsidRPr="00886B78" w:rsidRDefault="009D0997" w:rsidP="009D0997">
      <w:pPr>
        <w:widowControl w:val="0"/>
        <w:autoSpaceDE w:val="0"/>
        <w:autoSpaceDN w:val="0"/>
        <w:adjustRightInd w:val="0"/>
        <w:spacing w:line="240" w:lineRule="auto"/>
        <w:ind w:left="480" w:hanging="480"/>
        <w:rPr>
          <w:rFonts w:ascii="Arial" w:hAnsi="Arial" w:cs="Arial"/>
          <w:noProof/>
          <w:sz w:val="18"/>
          <w:szCs w:val="24"/>
          <w:lang w:val="en-GB"/>
        </w:rPr>
      </w:pPr>
      <w:r w:rsidRPr="00886B78">
        <w:rPr>
          <w:rFonts w:ascii="Arial" w:hAnsi="Arial" w:cs="Arial"/>
          <w:noProof/>
          <w:sz w:val="18"/>
          <w:szCs w:val="24"/>
          <w:lang w:val="en-GB"/>
        </w:rPr>
        <w:t>Kohn, M.J., 2004. Comment: Tooth Enamel Mineralization in Ungulates: Implications for Recovering a Primary Isotopic Time-Series, by B. H. Passey and T. E. Cerling (2002). Geochim. Cosmochim. Acta 68, 403–405. https://doi.org/10.1016/S0016-7037(03)00443-5</w:t>
      </w:r>
    </w:p>
    <w:p w14:paraId="2A6BB35A" w14:textId="670F541C" w:rsidR="009D0997" w:rsidRPr="00886B78" w:rsidRDefault="009D0997" w:rsidP="009D0997">
      <w:pPr>
        <w:widowControl w:val="0"/>
        <w:autoSpaceDE w:val="0"/>
        <w:autoSpaceDN w:val="0"/>
        <w:adjustRightInd w:val="0"/>
        <w:spacing w:line="240" w:lineRule="auto"/>
        <w:ind w:left="480" w:hanging="480"/>
        <w:rPr>
          <w:rFonts w:ascii="Arial" w:hAnsi="Arial" w:cs="Arial"/>
          <w:noProof/>
          <w:sz w:val="18"/>
          <w:szCs w:val="24"/>
          <w:lang w:val="en-GB"/>
        </w:rPr>
      </w:pPr>
      <w:r w:rsidRPr="00886B78">
        <w:rPr>
          <w:rFonts w:ascii="Arial" w:hAnsi="Arial" w:cs="Arial"/>
          <w:noProof/>
          <w:sz w:val="18"/>
          <w:szCs w:val="24"/>
          <w:lang w:val="en-GB"/>
        </w:rPr>
        <w:t xml:space="preserve">Passey, B.H., Cerling, T.E., 2002. Tooth enamel </w:t>
      </w:r>
      <w:r w:rsidR="002D7CF0" w:rsidRPr="00886B78">
        <w:rPr>
          <w:rFonts w:ascii="Arial" w:hAnsi="Arial" w:cs="Arial"/>
          <w:noProof/>
          <w:sz w:val="18"/>
          <w:szCs w:val="24"/>
          <w:lang w:val="en-GB"/>
        </w:rPr>
        <w:t>minerali</w:t>
      </w:r>
      <w:r w:rsidR="002D7CF0">
        <w:rPr>
          <w:rFonts w:ascii="Arial" w:hAnsi="Arial" w:cs="Arial"/>
          <w:noProof/>
          <w:sz w:val="18"/>
          <w:szCs w:val="24"/>
          <w:lang w:val="en-GB"/>
        </w:rPr>
        <w:t>s</w:t>
      </w:r>
      <w:r w:rsidR="002D7CF0" w:rsidRPr="00886B78">
        <w:rPr>
          <w:rFonts w:ascii="Arial" w:hAnsi="Arial" w:cs="Arial"/>
          <w:noProof/>
          <w:sz w:val="18"/>
          <w:szCs w:val="24"/>
          <w:lang w:val="en-GB"/>
        </w:rPr>
        <w:t xml:space="preserve">ation </w:t>
      </w:r>
      <w:r w:rsidRPr="00886B78">
        <w:rPr>
          <w:rFonts w:ascii="Arial" w:hAnsi="Arial" w:cs="Arial"/>
          <w:noProof/>
          <w:sz w:val="18"/>
          <w:szCs w:val="24"/>
          <w:lang w:val="en-GB"/>
        </w:rPr>
        <w:t>in ungulates: implications for recovering a primary isotopic time-series. Geochim. Cosmochim. Acta 66, 3225–3234. https://doi.org/10.1016/S0016-7037(02)00933-X</w:t>
      </w:r>
    </w:p>
    <w:p w14:paraId="00CC46E9" w14:textId="77777777" w:rsidR="009D0997" w:rsidRPr="00886B78" w:rsidRDefault="009D0997" w:rsidP="009D0997">
      <w:pPr>
        <w:widowControl w:val="0"/>
        <w:autoSpaceDE w:val="0"/>
        <w:autoSpaceDN w:val="0"/>
        <w:adjustRightInd w:val="0"/>
        <w:spacing w:line="240" w:lineRule="auto"/>
        <w:ind w:left="480" w:hanging="480"/>
        <w:rPr>
          <w:rFonts w:ascii="Arial" w:hAnsi="Arial" w:cs="Arial"/>
          <w:noProof/>
          <w:sz w:val="18"/>
          <w:szCs w:val="24"/>
          <w:lang w:val="en-GB"/>
        </w:rPr>
      </w:pPr>
      <w:r w:rsidRPr="00886B78">
        <w:rPr>
          <w:rFonts w:ascii="Arial" w:hAnsi="Arial" w:cs="Arial"/>
          <w:noProof/>
          <w:sz w:val="18"/>
          <w:szCs w:val="24"/>
          <w:lang w:val="en-GB"/>
        </w:rPr>
        <w:t>Passey, B.H., Robinson, T.F., Ayliffe, L.K., Cerling, T.E., Sponheimer, M., Dearing, M.D., Roeder, B.L., Ehleringer, J.R., 2005. Carbon isotope fractionation between diet, breath CO2, and bioapatite in different mammals. J. Archaeol. Sci. 32, 1459–1470. https://doi.org/10.1016/j.jas.2005.03.015</w:t>
      </w:r>
    </w:p>
    <w:p w14:paraId="37C90980" w14:textId="77777777" w:rsidR="009D0997" w:rsidRPr="009D0997" w:rsidRDefault="009D0997" w:rsidP="009D0997">
      <w:pPr>
        <w:widowControl w:val="0"/>
        <w:autoSpaceDE w:val="0"/>
        <w:autoSpaceDN w:val="0"/>
        <w:adjustRightInd w:val="0"/>
        <w:spacing w:line="240" w:lineRule="auto"/>
        <w:ind w:left="480" w:hanging="480"/>
        <w:rPr>
          <w:rFonts w:ascii="Arial" w:hAnsi="Arial" w:cs="Arial"/>
          <w:noProof/>
          <w:sz w:val="18"/>
        </w:rPr>
      </w:pPr>
      <w:r w:rsidRPr="00886B78">
        <w:rPr>
          <w:rFonts w:ascii="Arial" w:hAnsi="Arial" w:cs="Arial"/>
          <w:noProof/>
          <w:sz w:val="18"/>
          <w:szCs w:val="24"/>
          <w:lang w:val="en-GB"/>
        </w:rPr>
        <w:t xml:space="preserve">Zazzo, A., Bendrey, R., Vella, D., Moloney, A.P., Monahan, F.J., Schmidt, O., 2012. A refined sampling strategy for intra-tooth stable isotope analysis of mammalian enamel. </w:t>
      </w:r>
      <w:r w:rsidRPr="009D0997">
        <w:rPr>
          <w:rFonts w:ascii="Arial" w:hAnsi="Arial" w:cs="Arial"/>
          <w:noProof/>
          <w:sz w:val="18"/>
          <w:szCs w:val="24"/>
        </w:rPr>
        <w:t>Geochim. Cosmochim. Acta 84, 1–13. https://doi.org/10.1016/j.gca.2012.01.012</w:t>
      </w:r>
    </w:p>
    <w:p w14:paraId="1281EFCC" w14:textId="5D683225" w:rsidR="008C3EFD" w:rsidRPr="006B0E85" w:rsidRDefault="008C3EFD" w:rsidP="00F3694E">
      <w:pPr>
        <w:jc w:val="both"/>
        <w:rPr>
          <w:rFonts w:ascii="Arial" w:hAnsi="Arial" w:cs="Arial"/>
          <w:sz w:val="18"/>
          <w:szCs w:val="18"/>
          <w:lang w:val="en-GB"/>
        </w:rPr>
      </w:pPr>
      <w:r w:rsidRPr="006B0E85">
        <w:rPr>
          <w:rFonts w:ascii="Arial" w:hAnsi="Arial" w:cs="Arial"/>
          <w:sz w:val="18"/>
          <w:szCs w:val="18"/>
          <w:lang w:val="en-GB"/>
        </w:rPr>
        <w:fldChar w:fldCharType="end"/>
      </w:r>
      <w:bookmarkEnd w:id="0"/>
    </w:p>
    <w:sectPr w:rsidR="008C3EFD" w:rsidRPr="006B0E85" w:rsidSect="00120010">
      <w:pgSz w:w="11906" w:h="16838"/>
      <w:pgMar w:top="993"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ED041" w14:textId="77777777" w:rsidR="007B5752" w:rsidRDefault="007B5752" w:rsidP="005E137B">
      <w:pPr>
        <w:spacing w:after="0" w:line="240" w:lineRule="auto"/>
      </w:pPr>
      <w:r>
        <w:separator/>
      </w:r>
    </w:p>
  </w:endnote>
  <w:endnote w:type="continuationSeparator" w:id="0">
    <w:p w14:paraId="203B78DE" w14:textId="77777777" w:rsidR="007B5752" w:rsidRDefault="007B5752" w:rsidP="005E1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Condensed">
    <w:altName w:val="Verdana"/>
    <w:panose1 w:val="00000000000000000000"/>
    <w:charset w:val="00"/>
    <w:family w:val="swiss"/>
    <w:notTrueType/>
    <w:pitch w:val="default"/>
    <w:sig w:usb0="00000003" w:usb1="08070000" w:usb2="00000010" w:usb3="00000000" w:csb0="0002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639B7" w14:textId="77777777" w:rsidR="007B5752" w:rsidRDefault="007B5752" w:rsidP="005E137B">
      <w:pPr>
        <w:spacing w:after="0" w:line="240" w:lineRule="auto"/>
      </w:pPr>
      <w:r>
        <w:separator/>
      </w:r>
    </w:p>
  </w:footnote>
  <w:footnote w:type="continuationSeparator" w:id="0">
    <w:p w14:paraId="461C6139" w14:textId="77777777" w:rsidR="007B5752" w:rsidRDefault="007B5752" w:rsidP="005E1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E5B2F"/>
    <w:multiLevelType w:val="hybridMultilevel"/>
    <w:tmpl w:val="C6D2F916"/>
    <w:lvl w:ilvl="0" w:tplc="671AEAD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1MTU2NbEwNzYxtzRX0lEKTi0uzszPAykwNKgFALdwU/ctAAAA"/>
  </w:docVars>
  <w:rsids>
    <w:rsidRoot w:val="00996F4E"/>
    <w:rsid w:val="00003E1E"/>
    <w:rsid w:val="0001686C"/>
    <w:rsid w:val="000346AA"/>
    <w:rsid w:val="00036AE3"/>
    <w:rsid w:val="00091D3E"/>
    <w:rsid w:val="000C0D84"/>
    <w:rsid w:val="000E4EE4"/>
    <w:rsid w:val="000E7CEF"/>
    <w:rsid w:val="00120010"/>
    <w:rsid w:val="00126676"/>
    <w:rsid w:val="00151F08"/>
    <w:rsid w:val="00173D47"/>
    <w:rsid w:val="001825A8"/>
    <w:rsid w:val="001A432E"/>
    <w:rsid w:val="001B6FC8"/>
    <w:rsid w:val="0023238C"/>
    <w:rsid w:val="0024572A"/>
    <w:rsid w:val="002A5C33"/>
    <w:rsid w:val="002B3C02"/>
    <w:rsid w:val="002D7CF0"/>
    <w:rsid w:val="002F6945"/>
    <w:rsid w:val="00317CE3"/>
    <w:rsid w:val="00330D0D"/>
    <w:rsid w:val="003A4418"/>
    <w:rsid w:val="003D2840"/>
    <w:rsid w:val="003F50FE"/>
    <w:rsid w:val="00417F05"/>
    <w:rsid w:val="00430081"/>
    <w:rsid w:val="004309E4"/>
    <w:rsid w:val="00446655"/>
    <w:rsid w:val="004A3880"/>
    <w:rsid w:val="004A4DE6"/>
    <w:rsid w:val="004C313E"/>
    <w:rsid w:val="005357AC"/>
    <w:rsid w:val="0055538C"/>
    <w:rsid w:val="00593683"/>
    <w:rsid w:val="005B33C4"/>
    <w:rsid w:val="005C54D2"/>
    <w:rsid w:val="005C6044"/>
    <w:rsid w:val="005E137B"/>
    <w:rsid w:val="00645E5D"/>
    <w:rsid w:val="00674CAC"/>
    <w:rsid w:val="006B0E85"/>
    <w:rsid w:val="006C4F17"/>
    <w:rsid w:val="006F41F7"/>
    <w:rsid w:val="00703F67"/>
    <w:rsid w:val="007101AD"/>
    <w:rsid w:val="00721CAD"/>
    <w:rsid w:val="00730808"/>
    <w:rsid w:val="00746A0E"/>
    <w:rsid w:val="0077138F"/>
    <w:rsid w:val="007757C7"/>
    <w:rsid w:val="00781650"/>
    <w:rsid w:val="0079308F"/>
    <w:rsid w:val="007A3244"/>
    <w:rsid w:val="007A457F"/>
    <w:rsid w:val="007B5752"/>
    <w:rsid w:val="007B7FE9"/>
    <w:rsid w:val="007D39B1"/>
    <w:rsid w:val="007D6740"/>
    <w:rsid w:val="00802F6F"/>
    <w:rsid w:val="00850438"/>
    <w:rsid w:val="00857B9F"/>
    <w:rsid w:val="00866980"/>
    <w:rsid w:val="00877230"/>
    <w:rsid w:val="00880D87"/>
    <w:rsid w:val="00884831"/>
    <w:rsid w:val="00886B78"/>
    <w:rsid w:val="0089136C"/>
    <w:rsid w:val="00896E9E"/>
    <w:rsid w:val="008A19C1"/>
    <w:rsid w:val="008C292D"/>
    <w:rsid w:val="008C3EFD"/>
    <w:rsid w:val="008C4892"/>
    <w:rsid w:val="008F6CB3"/>
    <w:rsid w:val="00925F66"/>
    <w:rsid w:val="00930DA9"/>
    <w:rsid w:val="009629FE"/>
    <w:rsid w:val="00996F4E"/>
    <w:rsid w:val="009D0997"/>
    <w:rsid w:val="009D7DA7"/>
    <w:rsid w:val="009E63BD"/>
    <w:rsid w:val="009E7AAF"/>
    <w:rsid w:val="00A501E8"/>
    <w:rsid w:val="00A50912"/>
    <w:rsid w:val="00A63DAF"/>
    <w:rsid w:val="00A86E57"/>
    <w:rsid w:val="00AA0201"/>
    <w:rsid w:val="00AA35A1"/>
    <w:rsid w:val="00AB4F28"/>
    <w:rsid w:val="00AC6EED"/>
    <w:rsid w:val="00AC766A"/>
    <w:rsid w:val="00AD643F"/>
    <w:rsid w:val="00AE5B5A"/>
    <w:rsid w:val="00B24130"/>
    <w:rsid w:val="00BE3089"/>
    <w:rsid w:val="00BF305E"/>
    <w:rsid w:val="00C07E46"/>
    <w:rsid w:val="00C66C9A"/>
    <w:rsid w:val="00C72F86"/>
    <w:rsid w:val="00C91CC4"/>
    <w:rsid w:val="00CA2E7D"/>
    <w:rsid w:val="00D06F0F"/>
    <w:rsid w:val="00D144C3"/>
    <w:rsid w:val="00D17C83"/>
    <w:rsid w:val="00D6725B"/>
    <w:rsid w:val="00D97E1B"/>
    <w:rsid w:val="00DA3340"/>
    <w:rsid w:val="00E36C52"/>
    <w:rsid w:val="00E63017"/>
    <w:rsid w:val="00E63062"/>
    <w:rsid w:val="00EC3848"/>
    <w:rsid w:val="00ED5E45"/>
    <w:rsid w:val="00F008CE"/>
    <w:rsid w:val="00F05F60"/>
    <w:rsid w:val="00F10BE6"/>
    <w:rsid w:val="00F26B4C"/>
    <w:rsid w:val="00F32B23"/>
    <w:rsid w:val="00F3694E"/>
    <w:rsid w:val="00F51DB7"/>
    <w:rsid w:val="00F75866"/>
    <w:rsid w:val="00F91852"/>
    <w:rsid w:val="00FB1700"/>
    <w:rsid w:val="00FB233D"/>
    <w:rsid w:val="00FE4E9D"/>
    <w:rsid w:val="00FE6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55ADC"/>
  <w15:chartTrackingRefBased/>
  <w15:docId w15:val="{A575C3B5-184F-469E-9974-01E6D9591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37B"/>
    <w:pPr>
      <w:tabs>
        <w:tab w:val="center" w:pos="4252"/>
        <w:tab w:val="right" w:pos="8504"/>
      </w:tabs>
      <w:spacing w:after="0" w:line="240" w:lineRule="auto"/>
    </w:pPr>
  </w:style>
  <w:style w:type="character" w:customStyle="1" w:styleId="HeaderChar">
    <w:name w:val="Header Char"/>
    <w:basedOn w:val="DefaultParagraphFont"/>
    <w:link w:val="Header"/>
    <w:uiPriority w:val="99"/>
    <w:rsid w:val="005E137B"/>
  </w:style>
  <w:style w:type="paragraph" w:styleId="Footer">
    <w:name w:val="footer"/>
    <w:basedOn w:val="Normal"/>
    <w:link w:val="FooterChar"/>
    <w:uiPriority w:val="99"/>
    <w:unhideWhenUsed/>
    <w:rsid w:val="005E137B"/>
    <w:pPr>
      <w:tabs>
        <w:tab w:val="center" w:pos="4252"/>
        <w:tab w:val="right" w:pos="8504"/>
      </w:tabs>
      <w:spacing w:after="0" w:line="240" w:lineRule="auto"/>
    </w:pPr>
  </w:style>
  <w:style w:type="character" w:customStyle="1" w:styleId="FooterChar">
    <w:name w:val="Footer Char"/>
    <w:basedOn w:val="DefaultParagraphFont"/>
    <w:link w:val="Footer"/>
    <w:uiPriority w:val="99"/>
    <w:rsid w:val="005E137B"/>
  </w:style>
  <w:style w:type="paragraph" w:styleId="ListParagraph">
    <w:name w:val="List Paragraph"/>
    <w:basedOn w:val="Normal"/>
    <w:uiPriority w:val="34"/>
    <w:qFormat/>
    <w:rsid w:val="00003E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75DDCBA1BEC8B4DB97F9475568E93F8" ma:contentTypeVersion="16" ma:contentTypeDescription="Crear nuevo documento." ma:contentTypeScope="" ma:versionID="97c59f35aa86872169549413b843e0b7">
  <xsd:schema xmlns:xsd="http://www.w3.org/2001/XMLSchema" xmlns:xs="http://www.w3.org/2001/XMLSchema" xmlns:p="http://schemas.microsoft.com/office/2006/metadata/properties" xmlns:ns3="78d0eb8f-fc92-44f3-8161-af7bf35f79ec" xmlns:ns4="2fdf17e2-221e-403c-973d-85025b368af1" targetNamespace="http://schemas.microsoft.com/office/2006/metadata/properties" ma:root="true" ma:fieldsID="d71fc4e61887ca6e69a6ba35bbc53f56" ns3:_="" ns4:_="">
    <xsd:import namespace="78d0eb8f-fc92-44f3-8161-af7bf35f79ec"/>
    <xsd:import namespace="2fdf17e2-221e-403c-973d-85025b368af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d0eb8f-fc92-44f3-8161-af7bf35f79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df17e2-221e-403c-973d-85025b368af1"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8d0eb8f-fc92-44f3-8161-af7bf35f79ec" xsi:nil="true"/>
  </documentManagement>
</p:properties>
</file>

<file path=customXml/item4.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DEEAF737-0884-47D6-8E9B-18589931A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d0eb8f-fc92-44f3-8161-af7bf35f79ec"/>
    <ds:schemaRef ds:uri="2fdf17e2-221e-403c-973d-85025b368a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F68BC3-FEED-4E97-9257-C1CFD7E3FA93}">
  <ds:schemaRefs>
    <ds:schemaRef ds:uri="http://schemas.microsoft.com/sharepoint/v3/contenttype/forms"/>
  </ds:schemaRefs>
</ds:datastoreItem>
</file>

<file path=customXml/itemProps3.xml><?xml version="1.0" encoding="utf-8"?>
<ds:datastoreItem xmlns:ds="http://schemas.openxmlformats.org/officeDocument/2006/customXml" ds:itemID="{35717AC3-1B78-4479-9BB0-6458BCC60F99}">
  <ds:schemaRefs>
    <ds:schemaRef ds:uri="http://www.w3.org/XML/1998/namespace"/>
    <ds:schemaRef ds:uri="http://schemas.microsoft.com/office/2006/metadata/properties"/>
    <ds:schemaRef ds:uri="http://purl.org/dc/elements/1.1/"/>
    <ds:schemaRef ds:uri="78d0eb8f-fc92-44f3-8161-af7bf35f79ec"/>
    <ds:schemaRef ds:uri="http://purl.org/dc/dcmitype/"/>
    <ds:schemaRef ds:uri="http://schemas.microsoft.com/office/2006/documentManagement/types"/>
    <ds:schemaRef ds:uri="http://schemas.microsoft.com/office/infopath/2007/PartnerControls"/>
    <ds:schemaRef ds:uri="http://purl.org/dc/terms/"/>
    <ds:schemaRef ds:uri="http://schemas.openxmlformats.org/package/2006/metadata/core-properties"/>
    <ds:schemaRef ds:uri="2fdf17e2-221e-403c-973d-85025b368af1"/>
  </ds:schemaRefs>
</ds:datastoreItem>
</file>

<file path=customXml/itemProps4.xml><?xml version="1.0" encoding="utf-8"?>
<ds:datastoreItem xmlns:ds="http://schemas.openxmlformats.org/officeDocument/2006/customXml" ds:itemID="{3BAFF32A-257F-4815-B9B0-B8331CE22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2617</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Fernández García, Mónica</dc:creator>
  <cp:keywords/>
  <dc:description/>
  <cp:lastModifiedBy>Marin Arroyo, Ana Belen</cp:lastModifiedBy>
  <cp:revision>3</cp:revision>
  <dcterms:created xsi:type="dcterms:W3CDTF">2023-07-20T09:41:00Z</dcterms:created>
  <dcterms:modified xsi:type="dcterms:W3CDTF">2023-07-20T09:42:00Z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c2fa366c-eca1-4c24-81dc-e156d2517f68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http://www.zotero.org/styles/archaeological-and-anthropological-sciences</vt:lpwstr>
  </property>
  <property fmtid="{D5CDD505-2E9C-101B-9397-08002B2CF9AE}" pid="12" name="Mendeley Recent Style Name 4_1">
    <vt:lpwstr>Archaeological and Anthropological Sciences</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http://www.zotero.org/styles/quaternary-science-reviews</vt:lpwstr>
  </property>
  <property fmtid="{D5CDD505-2E9C-101B-9397-08002B2CF9AE}" pid="22" name="Mendeley Recent Style Name 9_1">
    <vt:lpwstr>Quaternary Science Reviews</vt:lpwstr>
  </property>
  <property fmtid="{D5CDD505-2E9C-101B-9397-08002B2CF9AE}" pid="23" name="Mendeley Document_1">
    <vt:lpwstr>True</vt:lpwstr>
  </property>
  <property fmtid="{D5CDD505-2E9C-101B-9397-08002B2CF9AE}" pid="24" name="Mendeley Unique User Id_1">
    <vt:lpwstr>99cb0796-730d-3f13-803a-fd57881cb759</vt:lpwstr>
  </property>
  <property fmtid="{D5CDD505-2E9C-101B-9397-08002B2CF9AE}" pid="25" name="Mendeley Citation Style_1">
    <vt:lpwstr>http://www.zotero.org/styles/quaternary-science-reviews</vt:lpwstr>
  </property>
  <property fmtid="{D5CDD505-2E9C-101B-9397-08002B2CF9AE}" pid="26" name="ContentTypeId">
    <vt:lpwstr>0x010100B75DDCBA1BEC8B4DB97F9475568E93F8</vt:lpwstr>
  </property>
</Properties>
</file>