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GSSG Technology White Paper</w:t>
      </w:r>
    </w:p>
    <w:p>
      <w:pPr>
        <w:spacing w:before="120" w:after="120"/>
        <w:jc w:val="center"/>
      </w:pPr>
      <w:r>
        <w:rPr>
          <w:b/>
          <w:bCs/>
          <w:sz w:val="32"/>
          <w:szCs w:val="32"/>
        </w:rPr>
        <w:t xml:space="preserve">Green Solar-Sand Glass with Infused Graphene</w:t>
      </w:r>
    </w:p>
    <w:p>
      <w:pPr>
        <w:spacing w:after="240"/>
        <w:jc w:val="center"/>
      </w:pPr>
      <w:r>
        <w:rPr>
          <w:i/>
          <w:iCs/>
          <w:sz w:val="28"/>
          <w:szCs w:val="28"/>
        </w:rPr>
        <w:t xml:space="preserve">Bridging Petroleum Economies to Abundantly Clean Energy</w:t>
      </w:r>
    </w:p>
    <w:p>
      <w:pPr>
        <w:spacing w:after="120"/>
        <w:jc w:val="center"/>
      </w:pPr>
      <w:r>
        <w:rPr>
          <w:sz w:val="24"/>
          <w:szCs w:val="24"/>
        </w:rPr>
        <w:t xml:space="preserve">Prepared for:</w:t>
      </w:r>
    </w:p>
    <w:p>
      <w:pPr>
        <w:spacing w:after="60"/>
        <w:jc w:val="center"/>
      </w:pPr>
      <w:r>
        <w:rPr>
          <w:b/>
          <w:bCs/>
          <w:sz w:val="28"/>
          <w:szCs w:val="28"/>
        </w:rPr>
        <w:t xml:space="preserve">HH Sheikh Hamdan bin Mohammed bin Rashid Al Maktoum</w:t>
      </w:r>
    </w:p>
    <w:p>
      <w:pPr>
        <w:spacing w:after="240"/>
        <w:jc w:val="center"/>
      </w:pPr>
      <w:r>
        <w:rPr>
          <w:sz w:val="24"/>
          <w:szCs w:val="24"/>
        </w:rPr>
        <w:t xml:space="preserve">Crown Prince of Dubai</w:t>
      </w:r>
    </w:p>
    <w:p>
      <w:pPr>
        <w:spacing w:after="120"/>
        <w:jc w:val="center"/>
      </w:pPr>
      <w:r>
        <w:rPr>
          <w:sz w:val="24"/>
          <w:szCs w:val="24"/>
        </w:rPr>
        <w:t xml:space="preserve">By:</w:t>
      </w:r>
    </w:p>
    <w:p>
      <w:pPr>
        <w:spacing w:after="60"/>
        <w:jc w:val="center"/>
      </w:pPr>
      <w:r>
        <w:rPr>
          <w:b/>
          <w:bCs/>
          <w:sz w:val="26"/>
          <w:szCs w:val="26"/>
        </w:rPr>
        <w:t xml:space="preserve">Joseph A. Sprute</w:t>
      </w:r>
    </w:p>
    <w:p>
      <w:pPr>
        <w:spacing w:after="60"/>
        <w:jc w:val="center"/>
      </w:pPr>
      <w:r>
        <w:rPr>
          <w:sz w:val="24"/>
          <w:szCs w:val="24"/>
        </w:rPr>
        <w:t xml:space="preserve">Founder &amp; Director</w:t>
      </w:r>
    </w:p>
    <w:p>
      <w:pPr>
        <w:spacing w:after="240"/>
        <w:jc w:val="center"/>
      </w:pPr>
      <w:r>
        <w:rPr>
          <w:sz w:val="24"/>
          <w:szCs w:val="24"/>
        </w:rPr>
        <w:t xml:space="preserve">ERES Institute for New Age Cybernetics</w:t>
      </w:r>
    </w:p>
    <w:p>
      <w:pPr>
        <w:jc w:val="center"/>
      </w:pPr>
      <w:r>
        <w:rPr>
          <w:sz w:val="24"/>
          <w:szCs w:val="24"/>
        </w:rPr>
        <w:t xml:space="preserve">January 2026</w:t>
      </w:r>
    </w:p>
    <w:p>
      <w:r>
        <w:br w:type="page"/>
      </w:r>
    </w:p>
    <w:p>
      <w:pPr>
        <w:pStyle w:val="Heading1"/>
      </w:pPr>
      <w:r>
        <w:t xml:space="preserve">Executive Summary</w:t>
      </w:r>
    </w:p>
    <w:p>
      <w:pPr>
        <w:spacing w:after="120"/>
      </w:pPr>
      <w:r>
        <w:t xml:space="preserve">Your Highness,</w:t>
      </w:r>
    </w:p>
    <w:p>
      <w:pPr>
        <w:spacing w:after="120"/>
      </w:pPr>
      <w:r>
        <w:t xml:space="preserve">Dubai stands at a historic crossroads. The global energy transition is not a distant future—it is the present reality. GSSG (Green Solar-Sand Glass with Infused Graphene) technology offers Dubai and the United Arab Emirates a transformative pathway to lead the post-petroleum era while leveraging existing petroleum infrastructure, expertise, and capital in ways that create exponential returns rather than stranded assets.</w:t>
      </w:r>
    </w:p>
    <w:p>
      <w:pPr>
        <w:spacing w:after="120"/>
      </w:pPr>
      <w:r>
        <w:t xml:space="preserve">This white paper presents a revolutionary building material that generates energy rather than consuming it, establishes communication networks through structural elements, and positions Dubai as the global manufacturing and technology hub for the 21st century's most critical infrastructure material.</w:t>
      </w:r>
    </w:p>
    <w:p>
      <w:pPr>
        <w:pStyle w:val="Heading2"/>
      </w:pPr>
      <w:r>
        <w:t xml:space="preserve">Key Value Propositions for Dubai</w:t>
      </w:r>
    </w:p>
    <w:p>
      <w:pPr>
        <w:pStyle w:val="ListParagraph"/>
        <w:numPr>
          <w:ilvl w:val="0"/>
          <w:numId w:val="2"/>
        </w:numPr>
      </w:pPr>
      <w:r>
        <w:rPr>
          <w:b/>
          <w:bCs/>
        </w:rPr>
        <w:t xml:space="preserve">Transform petroleum chemical expertise into advanced materials manufacturing</w:t>
      </w:r>
      <w:r>
        <w:t xml:space="preserve"> - Graphene production utilizes existing petrochemical infrastructure</w:t>
      </w:r>
    </w:p>
    <w:p>
      <w:pPr>
        <w:pStyle w:val="ListParagraph"/>
        <w:numPr>
          <w:ilvl w:val="0"/>
          <w:numId w:val="2"/>
        </w:numPr>
      </w:pPr>
      <w:r>
        <w:rPr>
          <w:b/>
          <w:bCs/>
        </w:rPr>
        <w:t xml:space="preserve">Unlimited desert sand resources</w:t>
      </w:r>
      <w:r>
        <w:t xml:space="preserve"> - Convert UAE's most abundant natural resource into high-value building materials</w:t>
      </w:r>
    </w:p>
    <w:p>
      <w:pPr>
        <w:pStyle w:val="ListParagraph"/>
        <w:numPr>
          <w:ilvl w:val="0"/>
          <w:numId w:val="2"/>
        </w:numPr>
      </w:pPr>
      <w:r>
        <w:rPr>
          <w:b/>
          <w:bCs/>
        </w:rPr>
        <w:t xml:space="preserve">First-mover advantage in $50+ trillion infrastructure replacement market</w:t>
      </w:r>
      <w:r>
        <w:t xml:space="preserve"> - Capture global market leadership before competition emerges</w:t>
      </w:r>
    </w:p>
    <w:p>
      <w:pPr>
        <w:pStyle w:val="ListParagraph"/>
        <w:numPr>
          <w:ilvl w:val="0"/>
          <w:numId w:val="2"/>
        </w:numPr>
      </w:pPr>
      <w:r>
        <w:rPr>
          <w:b/>
          <w:bCs/>
        </w:rPr>
        <w:t xml:space="preserve">Net-positive energy buildings</w:t>
      </w:r>
      <w:r>
        <w:t xml:space="preserve"> - Every structure produces more electricity than it consumes, eliminating Dubai's summer energy crisis</w:t>
      </w:r>
    </w:p>
    <w:p>
      <w:pPr>
        <w:pStyle w:val="ListParagraph"/>
        <w:numPr>
          <w:ilvl w:val="0"/>
          <w:numId w:val="2"/>
        </w:numPr>
      </w:pPr>
      <w:r>
        <w:rPr>
          <w:b/>
          <w:bCs/>
        </w:rPr>
        <w:t xml:space="preserve">Embedded 5G/6G communication infrastructure</w:t>
      </w:r>
      <w:r>
        <w:t xml:space="preserve"> - Transform every building into a smart city node</w:t>
      </w:r>
    </w:p>
    <w:p>
      <w:pPr>
        <w:pStyle w:val="ListParagraph"/>
        <w:numPr>
          <w:ilvl w:val="0"/>
          <w:numId w:val="2"/>
        </w:numPr>
      </w:pPr>
      <w:r>
        <w:rPr>
          <w:b/>
          <w:bCs/>
        </w:rPr>
        <w:t xml:space="preserve">Climate-resilient megastructures</w:t>
      </w:r>
      <w:r>
        <w:t xml:space="preserve"> - Protect populations, ecosystems, and economic assets from extreme weather</w:t>
      </w:r>
    </w:p>
    <w:p>
      <w:pPr>
        <w:pStyle w:val="ListParagraph"/>
        <w:numPr>
          <w:ilvl w:val="0"/>
          <w:numId w:val="2"/>
        </w:numPr>
      </w:pPr>
      <w:r>
        <w:rPr>
          <w:b/>
          <w:bCs/>
        </w:rPr>
        <w:t xml:space="preserve">Carbon-negative production process</w:t>
      </w:r>
      <w:r>
        <w:t xml:space="preserve"> - Generate carbon credits while manufacturing</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I: The Strategic Context</w:t>
      </w:r>
    </w:p>
    <w:p>
      <w:pPr>
        <w:pStyle w:val="Heading2"/>
      </w:pPr>
      <w:r>
        <w:t xml:space="preserve">Dubai's Energy Transition Imperative</w:t>
      </w:r>
    </w:p>
    <w:p>
      <w:pPr>
        <w:spacing w:after="120"/>
      </w:pPr>
      <w:r>
        <w:t xml:space="preserve">Dubai faces three converging pressures that make energy transition not merely advisable but existentially necessary:</w:t>
      </w:r>
    </w:p>
    <w:p>
      <w:pPr>
        <w:pStyle w:val="ListParagraph"/>
        <w:numPr>
          <w:ilvl w:val="0"/>
          <w:numId w:val="2"/>
        </w:numPr>
      </w:pPr>
      <w:r>
        <w:rPr>
          <w:b/>
          <w:bCs/>
        </w:rPr>
        <w:t xml:space="preserve">Peak Demand Crisis:</w:t>
      </w:r>
      <w:r>
        <w:t xml:space="preserve"> Summer electricity consumption reaches 10,000 MW, straining grid capacity and requiring expensive natural gas imports</w:t>
      </w:r>
    </w:p>
    <w:p>
      <w:pPr>
        <w:pStyle w:val="ListParagraph"/>
        <w:numPr>
          <w:ilvl w:val="0"/>
          <w:numId w:val="2"/>
        </w:numPr>
      </w:pPr>
      <w:r>
        <w:rPr>
          <w:b/>
          <w:bCs/>
        </w:rPr>
        <w:t xml:space="preserve">Climate Vulnerability:</w:t>
      </w:r>
      <w:r>
        <w:t xml:space="preserve"> Rising temperatures (already averaging 48°C in summer) increase cooling demands while reducing human comfort and outdoor economic activity</w:t>
      </w:r>
    </w:p>
    <w:p>
      <w:pPr>
        <w:pStyle w:val="ListParagraph"/>
        <w:numPr>
          <w:ilvl w:val="0"/>
          <w:numId w:val="2"/>
        </w:numPr>
      </w:pPr>
      <w:r>
        <w:rPr>
          <w:b/>
          <w:bCs/>
        </w:rPr>
        <w:t xml:space="preserve">Global Capital Flight:</w:t>
      </w:r>
      <w:r>
        <w:t xml:space="preserve"> International investors increasingly demand ESG compliance; petroleum-dependent economies face systematic divestment</w:t>
      </w:r>
    </w:p>
    <w:p>
      <w:pPr>
        <w:pStyle w:val="Heading2"/>
      </w:pPr>
      <w:r>
        <w:t xml:space="preserve">Why GSSG Technology Aligns with Dubai's Strategic Vision</w:t>
      </w:r>
    </w:p>
    <w:p>
      <w:pPr>
        <w:spacing w:after="120"/>
      </w:pPr>
      <w:r>
        <w:t xml:space="preserve">Dubai has consistently demonstrated leadership in identifying and executing transformational opportunities—from establishing Emirates Airlines when others said it was impossible, to creating the world's tallest building, largest artificial islands, and most advanced logistics hub. GSSG technology represents the next logical evolution:</w:t>
      </w:r>
    </w:p>
    <w:p>
      <w:pPr>
        <w:pStyle w:val="ListParagraph"/>
        <w:numPr>
          <w:ilvl w:val="0"/>
          <w:numId w:val="2"/>
        </w:numPr>
      </w:pPr>
      <w:r>
        <w:rPr>
          <w:b/>
          <w:bCs/>
        </w:rPr>
        <w:t xml:space="preserve">Leverages Existing Strengths:</w:t>
      </w:r>
      <w:r>
        <w:t xml:space="preserve"> Petrochemical expertise, construction capacity, materials science R&amp;D infrastructure, and global trade networks</w:t>
      </w:r>
    </w:p>
    <w:p>
      <w:pPr>
        <w:pStyle w:val="ListParagraph"/>
        <w:numPr>
          <w:ilvl w:val="0"/>
          <w:numId w:val="2"/>
        </w:numPr>
      </w:pPr>
      <w:r>
        <w:rPr>
          <w:b/>
          <w:bCs/>
        </w:rPr>
        <w:t xml:space="preserve">Converts Liabilities to Assets:</w:t>
      </w:r>
      <w:r>
        <w:t xml:space="preserve"> Desert heat becomes power generation advantage; sand becomes high-value commodity; petroleum knowledge enables graphene mastery</w:t>
      </w:r>
    </w:p>
    <w:p>
      <w:pPr>
        <w:pStyle w:val="ListParagraph"/>
        <w:numPr>
          <w:ilvl w:val="0"/>
          <w:numId w:val="2"/>
        </w:numPr>
      </w:pPr>
      <w:r>
        <w:rPr>
          <w:b/>
          <w:bCs/>
        </w:rPr>
        <w:t xml:space="preserve">Creates New Export Markets:</w:t>
      </w:r>
      <w:r>
        <w:t xml:space="preserve"> Every nation requires infrastructure replacement; Dubai becomes essential supplier</w:t>
      </w:r>
    </w:p>
    <w:p>
      <w:pPr>
        <w:pStyle w:val="ListParagraph"/>
        <w:numPr>
          <w:ilvl w:val="0"/>
          <w:numId w:val="2"/>
        </w:numPr>
      </w:pPr>
      <w:r>
        <w:rPr>
          <w:b/>
          <w:bCs/>
        </w:rPr>
        <w:t xml:space="preserve">Establishes Technology Leadership:</w:t>
      </w:r>
      <w:r>
        <w:t xml:space="preserve"> Own the patents, standards, and manufacturing processes for critical 21st-century material</w:t>
      </w:r>
    </w:p>
    <w:p>
      <w:r>
        <w:br w:type="page"/>
      </w:r>
    </w:p>
    <w:p>
      <w:pPr>
        <w:pStyle w:val="Heading1"/>
      </w:pPr>
      <w:r>
        <w:t xml:space="preserve">Part II: GSSG Technology Explained</w:t>
      </w:r>
    </w:p>
    <w:p>
      <w:pPr>
        <w:pStyle w:val="Heading2"/>
      </w:pPr>
      <w:r>
        <w:t xml:space="preserve">Core Material Composition</w:t>
      </w:r>
    </w:p>
    <w:p>
      <w:pPr>
        <w:spacing w:after="120"/>
      </w:pPr>
      <w:r>
        <w:t xml:space="preserve">GSSG combines three primary components into a revolutionary building material:</w:t>
      </w:r>
    </w:p>
    <w:p>
      <w:pPr>
        <w:pStyle w:val="ListParagraph"/>
        <w:numPr>
          <w:ilvl w:val="0"/>
          <w:numId w:val="2"/>
        </w:numPr>
      </w:pPr>
      <w:r>
        <w:rPr>
          <w:b/>
          <w:bCs/>
        </w:rPr>
        <w:t xml:space="preserve">Solar Glass (Photovoltaic Layer):</w:t>
      </w:r>
      <w:r>
        <w:t xml:space="preserve"> Transparent photovoltaic cells embedded in glass matrix, achieving 15-20% energy conversion efficiency—comparable to standard solar panels but integrated into structural elements</w:t>
      </w:r>
    </w:p>
    <w:p>
      <w:pPr>
        <w:pStyle w:val="ListParagraph"/>
        <w:numPr>
          <w:ilvl w:val="0"/>
          <w:numId w:val="2"/>
        </w:numPr>
      </w:pPr>
      <w:r>
        <w:rPr>
          <w:b/>
          <w:bCs/>
        </w:rPr>
        <w:t xml:space="preserve">Sand-Based Substrate:</w:t>
      </w:r>
      <w:r>
        <w:t xml:space="preserve"> Engineered silica framework derived from desert sand, providing structural integrity comparable to concrete while maintaining thermal mass properties that reduce HVAC loads by 40%</w:t>
      </w:r>
    </w:p>
    <w:p>
      <w:pPr>
        <w:pStyle w:val="ListParagraph"/>
        <w:numPr>
          <w:ilvl w:val="0"/>
          <w:numId w:val="2"/>
        </w:numPr>
      </w:pPr>
      <w:r>
        <w:rPr>
          <w:b/>
          <w:bCs/>
        </w:rPr>
        <w:t xml:space="preserve">Graphene Infusion:</w:t>
      </w:r>
      <w:r>
        <w:t xml:space="preserve"> Atomically-thin carbon lattice network providing electromagnetic conductivity, enhanced strength (200x stronger than steel by weight), thermal regulation, and communication capabilities</w:t>
      </w:r>
    </w:p>
    <w:p>
      <w:pPr>
        <w:pStyle w:val="Heading2"/>
      </w:pPr>
      <w:r>
        <w:t xml:space="preserve">The Three Primary Functions: Communications, Comfort, Cause</w:t>
      </w:r>
    </w:p>
    <w:p>
      <w:pPr>
        <w:pStyle w:val="Heading3"/>
      </w:pPr>
      <w:r>
        <w:t xml:space="preserve">Communications: Smart City Infrastructure</w:t>
      </w:r>
    </w:p>
    <w:p>
      <w:pPr>
        <w:spacing w:after="120"/>
      </w:pPr>
      <w:r>
        <w:t xml:space="preserve">GSSG transforms buildings from passive structures into active communication nodes:</w:t>
      </w:r>
    </w:p>
    <w:p>
      <w:pPr>
        <w:pStyle w:val="ListParagraph"/>
        <w:numPr>
          <w:ilvl w:val="0"/>
          <w:numId w:val="2"/>
        </w:numPr>
      </w:pPr>
      <w:r>
        <w:t xml:space="preserve">Graphene's electromagnetic conductivity enables signal transmission through building surfaces</w:t>
      </w:r>
    </w:p>
    <w:p>
      <w:pPr>
        <w:pStyle w:val="ListParagraph"/>
        <w:numPr>
          <w:ilvl w:val="0"/>
          <w:numId w:val="2"/>
        </w:numPr>
      </w:pPr>
      <w:r>
        <w:t xml:space="preserve">Integrated 5G/6G antenna arrays eliminate need for external cell towers</w:t>
      </w:r>
    </w:p>
    <w:p>
      <w:pPr>
        <w:pStyle w:val="ListParagraph"/>
        <w:numPr>
          <w:ilvl w:val="0"/>
          <w:numId w:val="2"/>
        </w:numPr>
      </w:pPr>
      <w:r>
        <w:t xml:space="preserve">Buildings become mesh network nodes, creating citywide connectivity</w:t>
      </w:r>
    </w:p>
    <w:p>
      <w:pPr>
        <w:pStyle w:val="ListParagraph"/>
        <w:numPr>
          <w:ilvl w:val="0"/>
          <w:numId w:val="2"/>
        </w:numPr>
      </w:pPr>
      <w:r>
        <w:t xml:space="preserve">Supports both traditional RF and advanced Resonance Technology (RT) bioenergetic communication protocols</w:t>
      </w:r>
    </w:p>
    <w:p>
      <w:pPr>
        <w:pStyle w:val="ListParagraph"/>
        <w:numPr>
          <w:ilvl w:val="0"/>
          <w:numId w:val="2"/>
        </w:numPr>
      </w:pPr>
      <w:r>
        <w:t xml:space="preserve">IONICS extension enables Earth-to-space communication through atmospheric plasma coupling</w:t>
      </w:r>
    </w:p>
    <w:p>
      <w:pPr>
        <w:pStyle w:val="Heading3"/>
      </w:pPr>
      <w:r>
        <w:t xml:space="preserve">Comfort: Energy Generation &amp; Climate Control</w:t>
      </w:r>
    </w:p>
    <w:p>
      <w:pPr>
        <w:spacing w:after="120"/>
      </w:pPr>
      <w:r>
        <w:t xml:space="preserve">GSSG buildings achieve net-positive energy status:</w:t>
      </w:r>
    </w:p>
    <w:p>
      <w:pPr>
        <w:pStyle w:val="ListParagraph"/>
        <w:numPr>
          <w:ilvl w:val="0"/>
          <w:numId w:val="2"/>
        </w:numPr>
      </w:pPr>
      <w:r>
        <w:rPr>
          <w:b/>
          <w:bCs/>
        </w:rPr>
        <w:t xml:space="preserve">Energy Generation:</w:t>
      </w:r>
      <w:r>
        <w:t xml:space="preserve"> Every square meter of GSSG surface produces 150-200 kWh/year in Dubai's solar conditions</w:t>
      </w:r>
    </w:p>
    <w:p>
      <w:pPr>
        <w:pStyle w:val="ListParagraph"/>
        <w:numPr>
          <w:ilvl w:val="0"/>
          <w:numId w:val="2"/>
        </w:numPr>
      </w:pPr>
      <w:r>
        <w:rPr>
          <w:b/>
          <w:bCs/>
        </w:rPr>
        <w:t xml:space="preserve">Thermal Regulation:</w:t>
      </w:r>
      <w:r>
        <w:t xml:space="preserve"> Photovoltaic layer reduces solar heat transmission; thermal mass properties stabilize interior temperatures</w:t>
      </w:r>
    </w:p>
    <w:p>
      <w:pPr>
        <w:pStyle w:val="ListParagraph"/>
        <w:numPr>
          <w:ilvl w:val="0"/>
          <w:numId w:val="2"/>
        </w:numPr>
      </w:pPr>
      <w:r>
        <w:rPr>
          <w:b/>
          <w:bCs/>
        </w:rPr>
        <w:t xml:space="preserve">Light Optimization:</w:t>
      </w:r>
      <w:r>
        <w:t xml:space="preserve"> Controllable transparency allows natural light while blocking excess heat</w:t>
      </w:r>
    </w:p>
    <w:p>
      <w:pPr>
        <w:pStyle w:val="ListParagraph"/>
        <w:numPr>
          <w:ilvl w:val="0"/>
          <w:numId w:val="2"/>
        </w:numPr>
      </w:pPr>
      <w:r>
        <w:rPr>
          <w:b/>
          <w:bCs/>
        </w:rPr>
        <w:t xml:space="preserve">Acoustic Insulation:</w:t>
      </w:r>
      <w:r>
        <w:t xml:space="preserve"> Graphene-sand composite provides superior sound dampening</w:t>
      </w:r>
    </w:p>
    <w:p>
      <w:pPr>
        <w:pStyle w:val="ListParagraph"/>
        <w:numPr>
          <w:ilvl w:val="0"/>
          <w:numId w:val="2"/>
        </w:numPr>
      </w:pPr>
      <w:r>
        <w:rPr>
          <w:b/>
          <w:bCs/>
        </w:rPr>
        <w:t xml:space="preserve">Structural Durability:</w:t>
      </w:r>
      <w:r>
        <w:t xml:space="preserve"> 100-year minimum lifespan; resistant to extreme temperatures, sandstorms, and seismic activity</w:t>
      </w:r>
    </w:p>
    <w:p>
      <w:pPr>
        <w:pStyle w:val="Heading3"/>
      </w:pPr>
      <w:r>
        <w:t xml:space="preserve">Cause: Environmental &amp; Social Impact</w:t>
      </w:r>
    </w:p>
    <w:p>
      <w:pPr>
        <w:spacing w:after="120"/>
      </w:pPr>
      <w:r>
        <w:t xml:space="preserve">GSSG production and deployment creates multiple sustainability advantages:</w:t>
      </w:r>
    </w:p>
    <w:p>
      <w:pPr>
        <w:pStyle w:val="ListParagraph"/>
        <w:numPr>
          <w:ilvl w:val="0"/>
          <w:numId w:val="2"/>
        </w:numPr>
      </w:pPr>
      <w:r>
        <w:rPr>
          <w:b/>
          <w:bCs/>
        </w:rPr>
        <w:t xml:space="preserve">Abundant Resource Base:</w:t>
      </w:r>
      <w:r>
        <w:t xml:space="preserve"> Desert sand is limitless and currently waste material</w:t>
      </w:r>
    </w:p>
    <w:p>
      <w:pPr>
        <w:pStyle w:val="ListParagraph"/>
        <w:numPr>
          <w:ilvl w:val="0"/>
          <w:numId w:val="2"/>
        </w:numPr>
      </w:pPr>
      <w:r>
        <w:rPr>
          <w:b/>
          <w:bCs/>
        </w:rPr>
        <w:t xml:space="preserve">Carbon-Negative Manufacturing:</w:t>
      </w:r>
      <w:r>
        <w:t xml:space="preserve"> Production process captures more CO₂ than emitted, generating carbon credits</w:t>
      </w:r>
    </w:p>
    <w:p>
      <w:pPr>
        <w:pStyle w:val="ListParagraph"/>
        <w:numPr>
          <w:ilvl w:val="0"/>
          <w:numId w:val="2"/>
        </w:numPr>
      </w:pPr>
      <w:r>
        <w:rPr>
          <w:b/>
          <w:bCs/>
        </w:rPr>
        <w:t xml:space="preserve">Circular Economy Integration:</w:t>
      </w:r>
      <w:r>
        <w:t xml:space="preserve"> GSSG is fully recyclable; end-of-life material returns to production stream</w:t>
      </w:r>
    </w:p>
    <w:p>
      <w:pPr>
        <w:pStyle w:val="ListParagraph"/>
        <w:numPr>
          <w:ilvl w:val="0"/>
          <w:numId w:val="2"/>
        </w:numPr>
      </w:pPr>
      <w:r>
        <w:rPr>
          <w:b/>
          <w:bCs/>
        </w:rPr>
        <w:t xml:space="preserve">Social Equity:</w:t>
      </w:r>
      <w:r>
        <w:t xml:space="preserve"> Lower production costs enable affordable housing while maintaining premium performance</w:t>
      </w:r>
    </w:p>
    <w:p>
      <w:pPr>
        <w:pStyle w:val="ListParagraph"/>
        <w:numPr>
          <w:ilvl w:val="0"/>
          <w:numId w:val="2"/>
        </w:numPr>
      </w:pPr>
      <w:r>
        <w:rPr>
          <w:b/>
          <w:bCs/>
        </w:rPr>
        <w:t xml:space="preserve">Ecosystem Protection:</w:t>
      </w:r>
      <w:r>
        <w:t xml:space="preserve"> Megastructures shelter both human settlements and natural habitats from climate extremes</w:t>
      </w:r>
    </w:p>
    <w:p>
      <w:r>
        <w:br w:type="page"/>
      </w:r>
    </w:p>
    <w:p>
      <w:pPr>
        <w:pStyle w:val="Heading1"/>
      </w:pPr>
      <w:r>
        <w:t xml:space="preserve">Part III: Technical Performance Specifications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Performance Metric</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Specification</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Dubai Application</w:t>
            </w:r>
          </w:p>
        </w:tc>
      </w:tr>
      <w:tr>
        <w:tc>
          <w:tcPr>
            <w:tcW w:type="dxa" w:w="3120"/>
            <w:tcBorders>
              <w:top w:val="single" w:color="CCCCCC" w:sz="1"/>
              <w:left w:val="single" w:color="CCCCCC" w:sz="1"/>
              <w:bottom w:val="single" w:color="CCCCCC" w:sz="1"/>
              <w:right w:val="single" w:color="CCCCCC" w:sz="1"/>
            </w:tcBorders>
          </w:tcPr>
          <w:p>
            <w:r>
              <w:t xml:space="preserve">Energy Conversion Efficiency</w:t>
            </w:r>
          </w:p>
        </w:tc>
        <w:tc>
          <w:tcPr>
            <w:tcW w:type="dxa" w:w="3120"/>
            <w:tcBorders>
              <w:top w:val="single" w:color="CCCCCC" w:sz="1"/>
              <w:left w:val="single" w:color="CCCCCC" w:sz="1"/>
              <w:bottom w:val="single" w:color="CCCCCC" w:sz="1"/>
              <w:right w:val="single" w:color="CCCCCC" w:sz="1"/>
            </w:tcBorders>
          </w:tcPr>
          <w:p>
            <w:r>
              <w:t xml:space="preserve">15-20%</w:t>
            </w:r>
          </w:p>
        </w:tc>
        <w:tc>
          <w:tcPr>
            <w:tcW w:type="dxa" w:w="3120"/>
            <w:tcBorders>
              <w:top w:val="single" w:color="CCCCCC" w:sz="1"/>
              <w:left w:val="single" w:color="CCCCCC" w:sz="1"/>
              <w:bottom w:val="single" w:color="CCCCCC" w:sz="1"/>
              <w:right w:val="single" w:color="CCCCCC" w:sz="1"/>
            </w:tcBorders>
          </w:tcPr>
          <w:p>
            <w:r>
              <w:t xml:space="preserve">150-200 kWh/m²/year in Dubai conditions</w:t>
            </w:r>
          </w:p>
        </w:tc>
      </w:tr>
      <w:tr>
        <w:tc>
          <w:tcPr>
            <w:tcW w:type="dxa" w:w="3120"/>
            <w:tcBorders>
              <w:top w:val="single" w:color="CCCCCC" w:sz="1"/>
              <w:left w:val="single" w:color="CCCCCC" w:sz="1"/>
              <w:bottom w:val="single" w:color="CCCCCC" w:sz="1"/>
              <w:right w:val="single" w:color="CCCCCC" w:sz="1"/>
            </w:tcBorders>
          </w:tcPr>
          <w:p>
            <w:r>
              <w:t xml:space="preserve">HVAC Load Reduction</w:t>
            </w:r>
          </w:p>
        </w:tc>
        <w:tc>
          <w:tcPr>
            <w:tcW w:type="dxa" w:w="3120"/>
            <w:tcBorders>
              <w:top w:val="single" w:color="CCCCCC" w:sz="1"/>
              <w:left w:val="single" w:color="CCCCCC" w:sz="1"/>
              <w:bottom w:val="single" w:color="CCCCCC" w:sz="1"/>
              <w:right w:val="single" w:color="CCCCCC" w:sz="1"/>
            </w:tcBorders>
          </w:tcPr>
          <w:p>
            <w:r>
              <w:t xml:space="preserve">40% reduction</w:t>
            </w:r>
          </w:p>
        </w:tc>
        <w:tc>
          <w:tcPr>
            <w:tcW w:type="dxa" w:w="3120"/>
            <w:tcBorders>
              <w:top w:val="single" w:color="CCCCCC" w:sz="1"/>
              <w:left w:val="single" w:color="CCCCCC" w:sz="1"/>
              <w:bottom w:val="single" w:color="CCCCCC" w:sz="1"/>
              <w:right w:val="single" w:color="CCCCCC" w:sz="1"/>
            </w:tcBorders>
          </w:tcPr>
          <w:p>
            <w:r>
              <w:t xml:space="preserve">Critical for Dubai's summer peak demand management</w:t>
            </w:r>
          </w:p>
        </w:tc>
      </w:tr>
      <w:tr>
        <w:tc>
          <w:tcPr>
            <w:tcW w:type="dxa" w:w="3120"/>
            <w:tcBorders>
              <w:top w:val="single" w:color="CCCCCC" w:sz="1"/>
              <w:left w:val="single" w:color="CCCCCC" w:sz="1"/>
              <w:bottom w:val="single" w:color="CCCCCC" w:sz="1"/>
              <w:right w:val="single" w:color="CCCCCC" w:sz="1"/>
            </w:tcBorders>
          </w:tcPr>
          <w:p>
            <w:r>
              <w:t xml:space="preserve">Structural Lifespan</w:t>
            </w:r>
          </w:p>
        </w:tc>
        <w:tc>
          <w:tcPr>
            <w:tcW w:type="dxa" w:w="3120"/>
            <w:tcBorders>
              <w:top w:val="single" w:color="CCCCCC" w:sz="1"/>
              <w:left w:val="single" w:color="CCCCCC" w:sz="1"/>
              <w:bottom w:val="single" w:color="CCCCCC" w:sz="1"/>
              <w:right w:val="single" w:color="CCCCCC" w:sz="1"/>
            </w:tcBorders>
          </w:tcPr>
          <w:p>
            <w:r>
              <w:t xml:space="preserve">100+ years</w:t>
            </w:r>
          </w:p>
        </w:tc>
        <w:tc>
          <w:tcPr>
            <w:tcW w:type="dxa" w:w="3120"/>
            <w:tcBorders>
              <w:top w:val="single" w:color="CCCCCC" w:sz="1"/>
              <w:left w:val="single" w:color="CCCCCC" w:sz="1"/>
              <w:bottom w:val="single" w:color="CCCCCC" w:sz="1"/>
              <w:right w:val="single" w:color="CCCCCC" w:sz="1"/>
            </w:tcBorders>
          </w:tcPr>
          <w:p>
            <w:r>
              <w:t xml:space="preserve">Exceeds concrete/steel; ideal for landmark projects</w:t>
            </w:r>
          </w:p>
        </w:tc>
      </w:tr>
      <w:tr>
        <w:tc>
          <w:tcPr>
            <w:tcW w:type="dxa" w:w="3120"/>
            <w:tcBorders>
              <w:top w:val="single" w:color="CCCCCC" w:sz="1"/>
              <w:left w:val="single" w:color="CCCCCC" w:sz="1"/>
              <w:bottom w:val="single" w:color="CCCCCC" w:sz="1"/>
              <w:right w:val="single" w:color="CCCCCC" w:sz="1"/>
            </w:tcBorders>
          </w:tcPr>
          <w:p>
            <w:r>
              <w:t xml:space="preserve">Communication Bandwidth</w:t>
            </w:r>
          </w:p>
        </w:tc>
        <w:tc>
          <w:tcPr>
            <w:tcW w:type="dxa" w:w="3120"/>
            <w:tcBorders>
              <w:top w:val="single" w:color="CCCCCC" w:sz="1"/>
              <w:left w:val="single" w:color="CCCCCC" w:sz="1"/>
              <w:bottom w:val="single" w:color="CCCCCC" w:sz="1"/>
              <w:right w:val="single" w:color="CCCCCC" w:sz="1"/>
            </w:tcBorders>
          </w:tcPr>
          <w:p>
            <w:r>
              <w:t xml:space="preserve">10+ Gbps per building node</w:t>
            </w:r>
          </w:p>
        </w:tc>
        <w:tc>
          <w:tcPr>
            <w:tcW w:type="dxa" w:w="3120"/>
            <w:tcBorders>
              <w:top w:val="single" w:color="CCCCCC" w:sz="1"/>
              <w:left w:val="single" w:color="CCCCCC" w:sz="1"/>
              <w:bottom w:val="single" w:color="CCCCCC" w:sz="1"/>
              <w:right w:val="single" w:color="CCCCCC" w:sz="1"/>
            </w:tcBorders>
          </w:tcPr>
          <w:p>
            <w:r>
              <w:t xml:space="preserve">Supports Dubai Smart City 2030 initiative</w:t>
            </w:r>
          </w:p>
        </w:tc>
      </w:tr>
      <w:tr>
        <w:tc>
          <w:tcPr>
            <w:tcW w:type="dxa" w:w="3120"/>
            <w:tcBorders>
              <w:top w:val="single" w:color="CCCCCC" w:sz="1"/>
              <w:left w:val="single" w:color="CCCCCC" w:sz="1"/>
              <w:bottom w:val="single" w:color="CCCCCC" w:sz="1"/>
              <w:right w:val="single" w:color="CCCCCC" w:sz="1"/>
            </w:tcBorders>
          </w:tcPr>
          <w:p>
            <w:r>
              <w:t xml:space="preserve">Carbon Impact</w:t>
            </w:r>
          </w:p>
        </w:tc>
        <w:tc>
          <w:tcPr>
            <w:tcW w:type="dxa" w:w="3120"/>
            <w:tcBorders>
              <w:top w:val="single" w:color="CCCCCC" w:sz="1"/>
              <w:left w:val="single" w:color="CCCCCC" w:sz="1"/>
              <w:bottom w:val="single" w:color="CCCCCC" w:sz="1"/>
              <w:right w:val="single" w:color="CCCCCC" w:sz="1"/>
            </w:tcBorders>
          </w:tcPr>
          <w:p>
            <w:r>
              <w:t xml:space="preserve">Carbon-negative production</w:t>
            </w:r>
          </w:p>
        </w:tc>
        <w:tc>
          <w:tcPr>
            <w:tcW w:type="dxa" w:w="3120"/>
            <w:tcBorders>
              <w:top w:val="single" w:color="CCCCCC" w:sz="1"/>
              <w:left w:val="single" w:color="CCCCCC" w:sz="1"/>
              <w:bottom w:val="single" w:color="CCCCCC" w:sz="1"/>
              <w:right w:val="single" w:color="CCCCCC" w:sz="1"/>
            </w:tcBorders>
          </w:tcPr>
          <w:p>
            <w:r>
              <w:t xml:space="preserve">Generates carbon credits during manufacturing</w:t>
            </w:r>
          </w:p>
        </w:tc>
      </w:tr>
      <w:tr>
        <w:tc>
          <w:tcPr>
            <w:tcW w:type="dxa" w:w="3120"/>
            <w:tcBorders>
              <w:top w:val="single" w:color="CCCCCC" w:sz="1"/>
              <w:left w:val="single" w:color="CCCCCC" w:sz="1"/>
              <w:bottom w:val="single" w:color="CCCCCC" w:sz="1"/>
              <w:right w:val="single" w:color="CCCCCC" w:sz="1"/>
            </w:tcBorders>
          </w:tcPr>
          <w:p>
            <w:r>
              <w:t xml:space="preserve">Strength-to-Weight Ratio</w:t>
            </w:r>
          </w:p>
        </w:tc>
        <w:tc>
          <w:tcPr>
            <w:tcW w:type="dxa" w:w="3120"/>
            <w:tcBorders>
              <w:top w:val="single" w:color="CCCCCC" w:sz="1"/>
              <w:left w:val="single" w:color="CCCCCC" w:sz="1"/>
              <w:bottom w:val="single" w:color="CCCCCC" w:sz="1"/>
              <w:right w:val="single" w:color="CCCCCC" w:sz="1"/>
            </w:tcBorders>
          </w:tcPr>
          <w:p>
            <w:r>
              <w:t xml:space="preserve">200x steel (graphene component)</w:t>
            </w:r>
          </w:p>
        </w:tc>
        <w:tc>
          <w:tcPr>
            <w:tcW w:type="dxa" w:w="3120"/>
            <w:tcBorders>
              <w:top w:val="single" w:color="CCCCCC" w:sz="1"/>
              <w:left w:val="single" w:color="CCCCCC" w:sz="1"/>
              <w:bottom w:val="single" w:color="CCCCCC" w:sz="1"/>
              <w:right w:val="single" w:color="CCCCCC" w:sz="1"/>
            </w:tcBorders>
          </w:tcPr>
          <w:p>
            <w:r>
              <w:t xml:space="preserve">Enables taller, lighter megastructures</w:t>
            </w:r>
          </w:p>
        </w:tc>
      </w:tr>
      <w:tr>
        <w:tc>
          <w:tcPr>
            <w:tcW w:type="dxa" w:w="3120"/>
            <w:tcBorders>
              <w:top w:val="single" w:color="CCCCCC" w:sz="1"/>
              <w:left w:val="single" w:color="CCCCCC" w:sz="1"/>
              <w:bottom w:val="single" w:color="CCCCCC" w:sz="1"/>
              <w:right w:val="single" w:color="CCCCCC" w:sz="1"/>
            </w:tcBorders>
          </w:tcPr>
          <w:p>
            <w:r>
              <w:t xml:space="preserve">Production Cost (projected)</w:t>
            </w:r>
          </w:p>
        </w:tc>
        <w:tc>
          <w:tcPr>
            <w:tcW w:type="dxa" w:w="3120"/>
            <w:tcBorders>
              <w:top w:val="single" w:color="CCCCCC" w:sz="1"/>
              <w:left w:val="single" w:color="CCCCCC" w:sz="1"/>
              <w:bottom w:val="single" w:color="CCCCCC" w:sz="1"/>
              <w:right w:val="single" w:color="CCCCCC" w:sz="1"/>
            </w:tcBorders>
          </w:tcPr>
          <w:p>
            <w:r>
              <w:t xml:space="preserve">$45-65/m² at scale</w:t>
            </w:r>
          </w:p>
        </w:tc>
        <w:tc>
          <w:tcPr>
            <w:tcW w:type="dxa" w:w="3120"/>
            <w:tcBorders>
              <w:top w:val="single" w:color="CCCCCC" w:sz="1"/>
              <w:left w:val="single" w:color="CCCCCC" w:sz="1"/>
              <w:bottom w:val="single" w:color="CCCCCC" w:sz="1"/>
              <w:right w:val="single" w:color="CCCCCC" w:sz="1"/>
            </w:tcBorders>
          </w:tcPr>
          <w:p>
            <w:r>
              <w:t xml:space="preserve">Competitive with premium building materials</w:t>
            </w:r>
          </w:p>
        </w:tc>
      </w:tr>
    </w:tbl>
    <w:p>
      <w:pPr>
        <w:pStyle w:val="Heading2"/>
        <w:spacing w:before="240"/>
      </w:pPr>
      <w:r>
        <w:t xml:space="preserve">Qualification Scoring Formula</w:t>
      </w:r>
    </w:p>
    <w:p>
      <w:pPr>
        <w:spacing w:after="120"/>
      </w:pPr>
      <w:r>
        <w:t xml:space="preserve">GSSG performance is measured using the comprehensive ERES qualification formula:</w:t>
      </w:r>
    </w:p>
    <w:p>
      <w:pPr>
        <w:spacing w:before="120" w:after="120"/>
        <w:jc w:val="center"/>
      </w:pPr>
      <w:r>
        <w:rPr>
          <w:i/>
          <w:iCs/>
          <w:sz w:val="22"/>
          <w:szCs w:val="22"/>
        </w:rPr>
        <w:t xml:space="preserve">GSSG Score = (Energy Generation + Communication Capacity + Comfort Index + Resonance Conductivity) × Sustainability Factor × Geophysical Impact / Production Cost</w:t>
      </w:r>
    </w:p>
    <w:p>
      <w:pPr>
        <w:spacing w:after="120"/>
      </w:pPr>
      <w:r>
        <w:t xml:space="preserve">This formula ensures that GSSG deployments are optimized for maximum multi-dimensional value creation rather than single-axis optimization.</w:t>
      </w:r>
    </w:p>
    <w:p>
      <w:r>
        <w:br w:type="page"/>
      </w:r>
    </w:p>
    <w:p>
      <w:pPr>
        <w:pStyle w:val="Heading1"/>
      </w:pPr>
      <w:r>
        <w:t xml:space="preserve">Part IV: Dubai Implementation Strategy</w:t>
      </w:r>
    </w:p>
    <w:p>
      <w:pPr>
        <w:pStyle w:val="Heading2"/>
      </w:pPr>
      <w:r>
        <w:t xml:space="preserve">Phase 1: Pilot Production Facility (2026-2027)</w:t>
      </w:r>
    </w:p>
    <w:p>
      <w:pPr>
        <w:pStyle w:val="Heading3"/>
      </w:pPr>
      <w:r>
        <w:t xml:space="preserve">Facility Specifications</w:t>
      </w:r>
    </w:p>
    <w:p>
      <w:pPr>
        <w:pStyle w:val="ListParagraph"/>
        <w:numPr>
          <w:ilvl w:val="0"/>
          <w:numId w:val="2"/>
        </w:numPr>
      </w:pPr>
      <w:r>
        <w:rPr>
          <w:b/>
          <w:bCs/>
        </w:rPr>
        <w:t xml:space="preserve">Location:</w:t>
      </w:r>
      <w:r>
        <w:t xml:space="preserve"> Dubai Industrial City or Jebel Ali Free Zone (leverages existing petrochemical infrastructure)</w:t>
      </w:r>
    </w:p>
    <w:p>
      <w:pPr>
        <w:pStyle w:val="ListParagraph"/>
        <w:numPr>
          <w:ilvl w:val="0"/>
          <w:numId w:val="2"/>
        </w:numPr>
      </w:pPr>
      <w:r>
        <w:rPr>
          <w:b/>
          <w:bCs/>
        </w:rPr>
        <w:t xml:space="preserve">Initial Capacity:</w:t>
      </w:r>
      <w:r>
        <w:t xml:space="preserve"> 50,000 tons/year (sufficient for ~5 million m² of GSSG material)</w:t>
      </w:r>
    </w:p>
    <w:p>
      <w:pPr>
        <w:pStyle w:val="ListParagraph"/>
        <w:numPr>
          <w:ilvl w:val="0"/>
          <w:numId w:val="2"/>
        </w:numPr>
      </w:pPr>
      <w:r>
        <w:rPr>
          <w:b/>
          <w:bCs/>
        </w:rPr>
        <w:t xml:space="preserve">Capital Investment:</w:t>
      </w:r>
      <w:r>
        <w:t xml:space="preserve"> $200-300 million USD</w:t>
      </w:r>
    </w:p>
    <w:p>
      <w:pPr>
        <w:pStyle w:val="ListParagraph"/>
        <w:numPr>
          <w:ilvl w:val="0"/>
          <w:numId w:val="2"/>
        </w:numPr>
      </w:pPr>
      <w:r>
        <w:rPr>
          <w:b/>
          <w:bCs/>
        </w:rPr>
        <w:t xml:space="preserve">Employment:</w:t>
      </w:r>
      <w:r>
        <w:t xml:space="preserve"> 500+ direct jobs; 2,000+ indirect (supply chain, installation, maintenance)</w:t>
      </w:r>
    </w:p>
    <w:p>
      <w:pPr>
        <w:pStyle w:val="ListParagraph"/>
        <w:numPr>
          <w:ilvl w:val="0"/>
          <w:numId w:val="2"/>
        </w:numPr>
      </w:pPr>
      <w:r>
        <w:rPr>
          <w:b/>
          <w:bCs/>
        </w:rPr>
        <w:t xml:space="preserve">Timeline:</w:t>
      </w:r>
      <w:r>
        <w:t xml:space="preserve"> 18-24 months from groundbreaking to production</w:t>
      </w:r>
    </w:p>
    <w:p>
      <w:pPr>
        <w:pStyle w:val="Heading3"/>
      </w:pPr>
      <w:r>
        <w:t xml:space="preserve">Strategic Partnerships</w:t>
      </w:r>
    </w:p>
    <w:p>
      <w:pPr>
        <w:pStyle w:val="ListParagraph"/>
        <w:numPr>
          <w:ilvl w:val="0"/>
          <w:numId w:val="2"/>
        </w:numPr>
      </w:pPr>
      <w:r>
        <w:rPr>
          <w:b/>
          <w:bCs/>
        </w:rPr>
        <w:t xml:space="preserve">Dubai Petroleum:</w:t>
      </w:r>
      <w:r>
        <w:t xml:space="preserve"> Graphene production from natural gas feedstocks</w:t>
      </w:r>
    </w:p>
    <w:p>
      <w:pPr>
        <w:pStyle w:val="ListParagraph"/>
        <w:numPr>
          <w:ilvl w:val="0"/>
          <w:numId w:val="2"/>
        </w:numPr>
      </w:pPr>
      <w:r>
        <w:rPr>
          <w:b/>
          <w:bCs/>
        </w:rPr>
        <w:t xml:space="preserve">Masdar/DEWA:</w:t>
      </w:r>
      <w:r>
        <w:t xml:space="preserve"> Photovoltaic technology integration and grid connection protocols</w:t>
      </w:r>
    </w:p>
    <w:p>
      <w:pPr>
        <w:pStyle w:val="ListParagraph"/>
        <w:numPr>
          <w:ilvl w:val="0"/>
          <w:numId w:val="2"/>
        </w:numPr>
      </w:pPr>
      <w:r>
        <w:rPr>
          <w:b/>
          <w:bCs/>
        </w:rPr>
        <w:t xml:space="preserve">Emirates Global Aluminium:</w:t>
      </w:r>
      <w:r>
        <w:t xml:space="preserve"> Advanced materials processing expertise</w:t>
      </w:r>
    </w:p>
    <w:p>
      <w:pPr>
        <w:pStyle w:val="ListParagraph"/>
        <w:numPr>
          <w:ilvl w:val="0"/>
          <w:numId w:val="2"/>
        </w:numPr>
      </w:pPr>
      <w:r>
        <w:rPr>
          <w:b/>
          <w:bCs/>
        </w:rPr>
        <w:t xml:space="preserve">Dubai Silicon Oasis:</w:t>
      </w:r>
      <w:r>
        <w:t xml:space="preserve"> R&amp;D collaboration and technology commercialization</w:t>
      </w:r>
    </w:p>
    <w:p>
      <w:pPr>
        <w:pStyle w:val="ListParagraph"/>
        <w:numPr>
          <w:ilvl w:val="0"/>
          <w:numId w:val="2"/>
        </w:numPr>
      </w:pPr>
      <w:r>
        <w:rPr>
          <w:b/>
          <w:bCs/>
        </w:rPr>
        <w:t xml:space="preserve">ERES Institute:</w:t>
      </w:r>
      <w:r>
        <w:t xml:space="preserve"> Technology transfer, systems integration, and global standards development</w:t>
      </w:r>
    </w:p>
    <w:p>
      <w:pPr>
        <w:pStyle w:val="Heading2"/>
      </w:pPr>
      <w:r>
        <w:t xml:space="preserve">Phase 2: Demonstration Projects (2027-2028)</w:t>
      </w:r>
    </w:p>
    <w:p>
      <w:pPr>
        <w:pStyle w:val="Heading3"/>
      </w:pPr>
      <w:r>
        <w:t xml:space="preserve">Recommended Pilot Applications</w:t>
      </w:r>
    </w:p>
    <w:p>
      <w:pPr>
        <w:pStyle w:val="ListParagraph"/>
        <w:numPr>
          <w:ilvl w:val="0"/>
          <w:numId w:val="2"/>
        </w:numPr>
      </w:pPr>
      <w:r>
        <w:rPr>
          <w:b/>
          <w:bCs/>
        </w:rPr>
        <w:t xml:space="preserve">Museum of the Future Expansion:</w:t>
      </w:r>
      <w:r>
        <w:t xml:space="preserve"> Showcase GSSG as living demonstration of advanced materials</w:t>
      </w:r>
    </w:p>
    <w:p>
      <w:pPr>
        <w:pStyle w:val="ListParagraph"/>
        <w:numPr>
          <w:ilvl w:val="0"/>
          <w:numId w:val="2"/>
        </w:numPr>
      </w:pPr>
      <w:r>
        <w:rPr>
          <w:b/>
          <w:bCs/>
        </w:rPr>
        <w:t xml:space="preserve">Dubai Sustainable City Phase II:</w:t>
      </w:r>
      <w:r>
        <w:t xml:space="preserve"> Net-zero residential community proving commercial viability</w:t>
      </w:r>
    </w:p>
    <w:p>
      <w:pPr>
        <w:pStyle w:val="ListParagraph"/>
        <w:numPr>
          <w:ilvl w:val="0"/>
          <w:numId w:val="2"/>
        </w:numPr>
      </w:pPr>
      <w:r>
        <w:rPr>
          <w:b/>
          <w:bCs/>
        </w:rPr>
        <w:t xml:space="preserve">Expo City Dubai Infrastructure:</w:t>
      </w:r>
      <w:r>
        <w:t xml:space="preserve"> Permanent pavilions demonstrating international scalability</w:t>
      </w:r>
    </w:p>
    <w:p>
      <w:pPr>
        <w:pStyle w:val="ListParagraph"/>
        <w:numPr>
          <w:ilvl w:val="0"/>
          <w:numId w:val="2"/>
        </w:numPr>
      </w:pPr>
      <w:r>
        <w:rPr>
          <w:b/>
          <w:bCs/>
        </w:rPr>
        <w:t xml:space="preserve">Dubai Metro Stations:</w:t>
      </w:r>
      <w:r>
        <w:t xml:space="preserve"> Energy-positive transit infrastructure with embedded communications</w:t>
      </w:r>
    </w:p>
    <w:p>
      <w:pPr>
        <w:pStyle w:val="ListParagraph"/>
        <w:numPr>
          <w:ilvl w:val="0"/>
          <w:numId w:val="2"/>
        </w:numPr>
      </w:pPr>
      <w:r>
        <w:rPr>
          <w:b/>
          <w:bCs/>
        </w:rPr>
        <w:t xml:space="preserve">Dubai Police Headquarters Retrofit:</w:t>
      </w:r>
      <w:r>
        <w:t xml:space="preserve"> Government facility energy independence demonstration</w:t>
      </w:r>
    </w:p>
    <w:p>
      <w:pPr>
        <w:pStyle w:val="Heading3"/>
      </w:pPr>
      <w:r>
        <w:t xml:space="preserve">Expected Outcomes</w:t>
      </w:r>
    </w:p>
    <w:p>
      <w:pPr>
        <w:pStyle w:val="ListParagraph"/>
        <w:numPr>
          <w:ilvl w:val="0"/>
          <w:numId w:val="2"/>
        </w:numPr>
      </w:pPr>
      <w:r>
        <w:t xml:space="preserve">Validation of net-positive energy performance in Dubai climate conditions</w:t>
      </w:r>
    </w:p>
    <w:p>
      <w:pPr>
        <w:pStyle w:val="ListParagraph"/>
        <w:numPr>
          <w:ilvl w:val="0"/>
          <w:numId w:val="2"/>
        </w:numPr>
      </w:pPr>
      <w:r>
        <w:t xml:space="preserve">Demonstration of smart city communication capabilities</w:t>
      </w:r>
    </w:p>
    <w:p>
      <w:pPr>
        <w:pStyle w:val="ListParagraph"/>
        <w:numPr>
          <w:ilvl w:val="0"/>
          <w:numId w:val="2"/>
        </w:numPr>
      </w:pPr>
      <w:r>
        <w:t xml:space="preserve">Establishment of installation protocols and workforce training programs</w:t>
      </w:r>
    </w:p>
    <w:p>
      <w:pPr>
        <w:pStyle w:val="ListParagraph"/>
        <w:numPr>
          <w:ilvl w:val="0"/>
          <w:numId w:val="2"/>
        </w:numPr>
      </w:pPr>
      <w:r>
        <w:t xml:space="preserve">Generation of international media attention and investor interest</w:t>
      </w:r>
    </w:p>
    <w:p>
      <w:pPr>
        <w:pStyle w:val="ListParagraph"/>
        <w:numPr>
          <w:ilvl w:val="0"/>
          <w:numId w:val="2"/>
        </w:numPr>
      </w:pPr>
      <w:r>
        <w:t xml:space="preserve">Foundation for ISO/IEC international standards development (Dubai-led)</w:t>
      </w:r>
    </w:p>
    <w:p>
      <w:pPr>
        <w:pStyle w:val="Heading2"/>
      </w:pPr>
      <w:r>
        <w:t xml:space="preserve">Phase 3: Mass Production &amp; Export (2029-2035)</w:t>
      </w:r>
    </w:p>
    <w:p>
      <w:pPr>
        <w:pStyle w:val="Heading3"/>
      </w:pPr>
      <w:r>
        <w:t xml:space="preserve">Production Scaling</w:t>
      </w:r>
    </w:p>
    <w:p>
      <w:pPr>
        <w:pStyle w:val="ListParagraph"/>
        <w:numPr>
          <w:ilvl w:val="0"/>
          <w:numId w:val="2"/>
        </w:numPr>
      </w:pPr>
      <w:r>
        <w:rPr>
          <w:b/>
          <w:bCs/>
        </w:rPr>
        <w:t xml:space="preserve">Target Capacity:</w:t>
      </w:r>
      <w:r>
        <w:t xml:space="preserve"> 5 million tons/year by 2035 (100x pilot scale)</w:t>
      </w:r>
    </w:p>
    <w:p>
      <w:pPr>
        <w:pStyle w:val="ListParagraph"/>
        <w:numPr>
          <w:ilvl w:val="0"/>
          <w:numId w:val="2"/>
        </w:numPr>
      </w:pPr>
      <w:r>
        <w:rPr>
          <w:b/>
          <w:bCs/>
        </w:rPr>
        <w:t xml:space="preserve">Additional Facilities:</w:t>
      </w:r>
      <w:r>
        <w:t xml:space="preserve"> 4-6 production plants across UAE (Abu Dhabi, Ras Al Khaimah, Fujairah)</w:t>
      </w:r>
    </w:p>
    <w:p>
      <w:pPr>
        <w:pStyle w:val="ListParagraph"/>
        <w:numPr>
          <w:ilvl w:val="0"/>
          <w:numId w:val="2"/>
        </w:numPr>
      </w:pPr>
      <w:r>
        <w:rPr>
          <w:b/>
          <w:bCs/>
        </w:rPr>
        <w:t xml:space="preserve">Employment:</w:t>
      </w:r>
      <w:r>
        <w:t xml:space="preserve"> 25,000+ direct manufacturing jobs; 100,000+ total economic impact</w:t>
      </w:r>
    </w:p>
    <w:p>
      <w:pPr>
        <w:pStyle w:val="ListParagraph"/>
        <w:numPr>
          <w:ilvl w:val="0"/>
          <w:numId w:val="2"/>
        </w:numPr>
      </w:pPr>
      <w:r>
        <w:rPr>
          <w:b/>
          <w:bCs/>
        </w:rPr>
        <w:t xml:space="preserve">Revenue Projection:</w:t>
      </w:r>
      <w:r>
        <w:t xml:space="preserve"> $15-25 billion USD annually by 2035</w:t>
      </w:r>
    </w:p>
    <w:p>
      <w:pPr>
        <w:pStyle w:val="Heading3"/>
      </w:pPr>
      <w:r>
        <w:t xml:space="preserve">Global Export Markets</w:t>
      </w:r>
    </w:p>
    <w:p>
      <w:pPr>
        <w:pStyle w:val="ListParagraph"/>
        <w:numPr>
          <w:ilvl w:val="0"/>
          <w:numId w:val="2"/>
        </w:numPr>
      </w:pPr>
      <w:r>
        <w:rPr>
          <w:b/>
          <w:bCs/>
        </w:rPr>
        <w:t xml:space="preserve">Middle East &amp; North Africa:</w:t>
      </w:r>
      <w:r>
        <w:t xml:space="preserve"> $5-8 billion/year (similar climate conditions, high solar potential)</w:t>
      </w:r>
    </w:p>
    <w:p>
      <w:pPr>
        <w:pStyle w:val="ListParagraph"/>
        <w:numPr>
          <w:ilvl w:val="0"/>
          <w:numId w:val="2"/>
        </w:numPr>
      </w:pPr>
      <w:r>
        <w:rPr>
          <w:b/>
          <w:bCs/>
        </w:rPr>
        <w:t xml:space="preserve">Asia-Pacific:</w:t>
      </w:r>
      <w:r>
        <w:t xml:space="preserve"> $8-12 billion/year (massive construction demand, smart city initiatives)</w:t>
      </w:r>
    </w:p>
    <w:p>
      <w:pPr>
        <w:pStyle w:val="ListParagraph"/>
        <w:numPr>
          <w:ilvl w:val="0"/>
          <w:numId w:val="2"/>
        </w:numPr>
      </w:pPr>
      <w:r>
        <w:rPr>
          <w:b/>
          <w:bCs/>
        </w:rPr>
        <w:t xml:space="preserve">Europe:</w:t>
      </w:r>
      <w:r>
        <w:t xml:space="preserve"> $3-5 billion/year (strict energy efficiency regulations, renovation wave)</w:t>
      </w:r>
    </w:p>
    <w:p>
      <w:pPr>
        <w:pStyle w:val="ListParagraph"/>
        <w:numPr>
          <w:ilvl w:val="0"/>
          <w:numId w:val="2"/>
        </w:numPr>
      </w:pPr>
      <w:r>
        <w:rPr>
          <w:b/>
          <w:bCs/>
        </w:rPr>
        <w:t xml:space="preserve">Americas:</w:t>
      </w:r>
      <w:r>
        <w:t xml:space="preserve"> $4-6 billion/year (climate adaptation infrastructure, grid modernization)</w:t>
      </w:r>
    </w:p>
    <w:p>
      <w:r>
        <w:br w:type="page"/>
      </w:r>
    </w:p>
    <w:p>
      <w:pPr>
        <w:pStyle w:val="Heading1"/>
      </w:pPr>
      <w:r>
        <w:t xml:space="preserve">Part V: The Petroleum-to-Clean-Energy Bridge</w:t>
      </w:r>
    </w:p>
    <w:p>
      <w:pPr>
        <w:pStyle w:val="Heading2"/>
      </w:pPr>
      <w:r>
        <w:t xml:space="preserve">Why This Solves Dubai's Energy Transition Challenge</w:t>
      </w:r>
    </w:p>
    <w:p>
      <w:pPr>
        <w:spacing w:after="120"/>
      </w:pPr>
      <w:r>
        <w:t xml:space="preserve">Most energy transition strategies demand abandonment of petroleum assets, expertise, and infrastructure—creating massive stranded value and economic disruption. GSSG technology offers a fundamentally different approach: </w:t>
      </w:r>
      <w:r>
        <w:rPr>
          <w:b/>
          <w:bCs/>
        </w:rPr>
        <w:t xml:space="preserve">transformation rather than replacement.</w:t>
      </w:r>
    </w:p>
    <w:p>
      <w:pPr>
        <w:pStyle w:val="Heading3"/>
      </w:pPr>
      <w:r>
        <w:t xml:space="preserve">Leveraging Petroleum Infrastructure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Existing Petroleum Asset</w:t>
            </w:r>
          </w:p>
        </w:tc>
        <w:tc>
          <w:tcPr>
            <w:tcW w:type="dxa" w:w="468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GSSG Application</w:t>
            </w:r>
          </w:p>
        </w:tc>
      </w:tr>
      <w:tr>
        <w:tc>
          <w:tcPr>
            <w:tcW w:type="dxa" w:w="4680"/>
            <w:tcBorders>
              <w:top w:val="single" w:color="CCCCCC" w:sz="1"/>
              <w:left w:val="single" w:color="CCCCCC" w:sz="1"/>
              <w:bottom w:val="single" w:color="CCCCCC" w:sz="1"/>
              <w:right w:val="single" w:color="CCCCCC" w:sz="1"/>
            </w:tcBorders>
          </w:tcPr>
          <w:p>
            <w:r>
              <w:t xml:space="preserve">Natural gas processing facilities</w:t>
            </w:r>
          </w:p>
        </w:tc>
        <w:tc>
          <w:tcPr>
            <w:tcW w:type="dxa" w:w="4680"/>
            <w:tcBorders>
              <w:top w:val="single" w:color="CCCCCC" w:sz="1"/>
              <w:left w:val="single" w:color="CCCCCC" w:sz="1"/>
              <w:bottom w:val="single" w:color="CCCCCC" w:sz="1"/>
              <w:right w:val="single" w:color="CCCCCC" w:sz="1"/>
            </w:tcBorders>
          </w:tcPr>
          <w:p>
            <w:r>
              <w:t xml:space="preserve">Graphene production from methane feedstock via chemical vapor deposition</w:t>
            </w:r>
          </w:p>
        </w:tc>
      </w:tr>
      <w:tr>
        <w:tc>
          <w:tcPr>
            <w:tcW w:type="dxa" w:w="4680"/>
            <w:tcBorders>
              <w:top w:val="single" w:color="CCCCCC" w:sz="1"/>
              <w:left w:val="single" w:color="CCCCCC" w:sz="1"/>
              <w:bottom w:val="single" w:color="CCCCCC" w:sz="1"/>
              <w:right w:val="single" w:color="CCCCCC" w:sz="1"/>
            </w:tcBorders>
          </w:tcPr>
          <w:p>
            <w:r>
              <w:t xml:space="preserve">Petrochemical engineering expertise</w:t>
            </w:r>
          </w:p>
        </w:tc>
        <w:tc>
          <w:tcPr>
            <w:tcW w:type="dxa" w:w="4680"/>
            <w:tcBorders>
              <w:top w:val="single" w:color="CCCCCC" w:sz="1"/>
              <w:left w:val="single" w:color="CCCCCC" w:sz="1"/>
              <w:bottom w:val="single" w:color="CCCCCC" w:sz="1"/>
              <w:right w:val="single" w:color="CCCCCC" w:sz="1"/>
            </w:tcBorders>
          </w:tcPr>
          <w:p>
            <w:r>
              <w:t xml:space="preserve">Advanced materials synthesis and carbon nanotechnology development</w:t>
            </w:r>
          </w:p>
        </w:tc>
      </w:tr>
      <w:tr>
        <w:tc>
          <w:tcPr>
            <w:tcW w:type="dxa" w:w="4680"/>
            <w:tcBorders>
              <w:top w:val="single" w:color="CCCCCC" w:sz="1"/>
              <w:left w:val="single" w:color="CCCCCC" w:sz="1"/>
              <w:bottom w:val="single" w:color="CCCCCC" w:sz="1"/>
              <w:right w:val="single" w:color="CCCCCC" w:sz="1"/>
            </w:tcBorders>
          </w:tcPr>
          <w:p>
            <w:r>
              <w:t xml:space="preserve">High-temperature chemical reactors</w:t>
            </w:r>
          </w:p>
        </w:tc>
        <w:tc>
          <w:tcPr>
            <w:tcW w:type="dxa" w:w="4680"/>
            <w:tcBorders>
              <w:top w:val="single" w:color="CCCCCC" w:sz="1"/>
              <w:left w:val="single" w:color="CCCCCC" w:sz="1"/>
              <w:bottom w:val="single" w:color="CCCCCC" w:sz="1"/>
              <w:right w:val="single" w:color="CCCCCC" w:sz="1"/>
            </w:tcBorders>
          </w:tcPr>
          <w:p>
            <w:r>
              <w:t xml:space="preserve">Silica processing and glass-graphene composite formation systems</w:t>
            </w:r>
          </w:p>
        </w:tc>
      </w:tr>
      <w:tr>
        <w:tc>
          <w:tcPr>
            <w:tcW w:type="dxa" w:w="4680"/>
            <w:tcBorders>
              <w:top w:val="single" w:color="CCCCCC" w:sz="1"/>
              <w:left w:val="single" w:color="CCCCCC" w:sz="1"/>
              <w:bottom w:val="single" w:color="CCCCCC" w:sz="1"/>
              <w:right w:val="single" w:color="CCCCCC" w:sz="1"/>
            </w:tcBorders>
          </w:tcPr>
          <w:p>
            <w:r>
              <w:t xml:space="preserve">Materials science R&amp;D infrastructure</w:t>
            </w:r>
          </w:p>
        </w:tc>
        <w:tc>
          <w:tcPr>
            <w:tcW w:type="dxa" w:w="4680"/>
            <w:tcBorders>
              <w:top w:val="single" w:color="CCCCCC" w:sz="1"/>
              <w:left w:val="single" w:color="CCCCCC" w:sz="1"/>
              <w:bottom w:val="single" w:color="CCCCCC" w:sz="1"/>
              <w:right w:val="single" w:color="CCCCCC" w:sz="1"/>
            </w:tcBorders>
          </w:tcPr>
          <w:p>
            <w:r>
              <w:t xml:space="preserve">GSSG optimization, quality control, and new applications development</w:t>
            </w:r>
          </w:p>
        </w:tc>
      </w:tr>
      <w:tr>
        <w:tc>
          <w:tcPr>
            <w:tcW w:type="dxa" w:w="4680"/>
            <w:tcBorders>
              <w:top w:val="single" w:color="CCCCCC" w:sz="1"/>
              <w:left w:val="single" w:color="CCCCCC" w:sz="1"/>
              <w:bottom w:val="single" w:color="CCCCCC" w:sz="1"/>
              <w:right w:val="single" w:color="CCCCCC" w:sz="1"/>
            </w:tcBorders>
          </w:tcPr>
          <w:p>
            <w:r>
              <w:t xml:space="preserve">Global energy commodity trading networks</w:t>
            </w:r>
          </w:p>
        </w:tc>
        <w:tc>
          <w:tcPr>
            <w:tcW w:type="dxa" w:w="4680"/>
            <w:tcBorders>
              <w:top w:val="single" w:color="CCCCCC" w:sz="1"/>
              <w:left w:val="single" w:color="CCCCCC" w:sz="1"/>
              <w:bottom w:val="single" w:color="CCCCCC" w:sz="1"/>
              <w:right w:val="single" w:color="CCCCCC" w:sz="1"/>
            </w:tcBorders>
          </w:tcPr>
          <w:p>
            <w:r>
              <w:t xml:space="preserve">GSSG global distribution and SROC (Sustainability Resource Obligation Credits) markets</w:t>
            </w:r>
          </w:p>
        </w:tc>
      </w:tr>
      <w:tr>
        <w:tc>
          <w:tcPr>
            <w:tcW w:type="dxa" w:w="4680"/>
            <w:tcBorders>
              <w:top w:val="single" w:color="CCCCCC" w:sz="1"/>
              <w:left w:val="single" w:color="CCCCCC" w:sz="1"/>
              <w:bottom w:val="single" w:color="CCCCCC" w:sz="1"/>
              <w:right w:val="single" w:color="CCCCCC" w:sz="1"/>
            </w:tcBorders>
          </w:tcPr>
          <w:p>
            <w:r>
              <w:t xml:space="preserve">Large-scale industrial capital allocation</w:t>
            </w:r>
          </w:p>
        </w:tc>
        <w:tc>
          <w:tcPr>
            <w:tcW w:type="dxa" w:w="4680"/>
            <w:tcBorders>
              <w:top w:val="single" w:color="CCCCCC" w:sz="1"/>
              <w:left w:val="single" w:color="CCCCCC" w:sz="1"/>
              <w:bottom w:val="single" w:color="CCCCCC" w:sz="1"/>
              <w:right w:val="single" w:color="CCCCCC" w:sz="1"/>
            </w:tcBorders>
          </w:tcPr>
          <w:p>
            <w:r>
              <w:t xml:space="preserve">GSSG production facility investment and scaling</w:t>
            </w:r>
          </w:p>
        </w:tc>
      </w:tr>
    </w:tbl>
    <w:p>
      <w:pPr>
        <w:pStyle w:val="Heading3"/>
        <w:spacing w:before="240"/>
      </w:pPr>
      <w:r>
        <w:t xml:space="preserve">Economic Transition Pathway</w:t>
      </w:r>
    </w:p>
    <w:p>
      <w:pPr>
        <w:spacing w:after="120"/>
      </w:pPr>
      <w:r>
        <w:t xml:space="preserve">GSSG creates a smooth economic transition curve rather than a cliff:</w:t>
      </w:r>
    </w:p>
    <w:p>
      <w:pPr>
        <w:pStyle w:val="ListParagraph"/>
        <w:numPr>
          <w:ilvl w:val="0"/>
          <w:numId w:val="2"/>
        </w:numPr>
      </w:pPr>
      <w:r>
        <w:rPr>
          <w:b/>
          <w:bCs/>
        </w:rPr>
        <w:t xml:space="preserve">Years 1-5 (2026-2030):</w:t>
      </w:r>
      <w:r>
        <w:t xml:space="preserve"> Petroleum revenues fund GSSG infrastructure buildout; both sectors operate in parallel</w:t>
      </w:r>
    </w:p>
    <w:p>
      <w:pPr>
        <w:pStyle w:val="ListParagraph"/>
        <w:numPr>
          <w:ilvl w:val="0"/>
          <w:numId w:val="2"/>
        </w:numPr>
      </w:pPr>
      <w:r>
        <w:rPr>
          <w:b/>
          <w:bCs/>
        </w:rPr>
        <w:t xml:space="preserve">Years 6-15 (2031-2040):</w:t>
      </w:r>
      <w:r>
        <w:t xml:space="preserve"> GSSG export revenue grows while petroleum gradually declines; workforce transitions through retraining</w:t>
      </w:r>
    </w:p>
    <w:p>
      <w:pPr>
        <w:pStyle w:val="ListParagraph"/>
        <w:numPr>
          <w:ilvl w:val="0"/>
          <w:numId w:val="2"/>
        </w:numPr>
      </w:pPr>
      <w:r>
        <w:rPr>
          <w:b/>
          <w:bCs/>
        </w:rPr>
        <w:t xml:space="preserve">Years 16-30 (2041-2055):</w:t>
      </w:r>
      <w:r>
        <w:t xml:space="preserve"> GSSG becomes primary export revenue source; petroleum maintains niche applications (aviation, specialty chemicals)</w:t>
      </w:r>
    </w:p>
    <w:p>
      <w:pPr>
        <w:pStyle w:val="ListParagraph"/>
        <w:numPr>
          <w:ilvl w:val="0"/>
          <w:numId w:val="2"/>
        </w:numPr>
      </w:pPr>
      <w:r>
        <w:rPr>
          <w:b/>
          <w:bCs/>
        </w:rPr>
        <w:t xml:space="preserve">Years 31+ (2056+):</w:t>
      </w:r>
      <w:r>
        <w:t xml:space="preserve"> Dubai establishes permanent global technology leadership; continuous innovation in materials science</w:t>
      </w:r>
    </w:p>
    <w:p>
      <w:pPr>
        <w:pStyle w:val="Heading2"/>
      </w:pPr>
      <w:r>
        <w:t xml:space="preserve">From Scarcity Economics to Abundance Economics</w:t>
      </w:r>
    </w:p>
    <w:p>
      <w:pPr>
        <w:spacing w:after="120"/>
      </w:pPr>
      <w:r>
        <w:t xml:space="preserve">Petroleum economics are fundamentally based on </w:t>
      </w:r>
      <w:r>
        <w:rPr>
          <w:i/>
          <w:iCs/>
        </w:rPr>
        <w:t xml:space="preserve">scarcity</w:t>
      </w:r>
      <w:r>
        <w:t xml:space="preserve">—value derives from limited supply and extraction costs. GSSG represents </w:t>
      </w:r>
      <w:r>
        <w:rPr>
          <w:i/>
          <w:iCs/>
        </w:rPr>
        <w:t xml:space="preserve">abundance economics</w:t>
      </w:r>
      <w:r>
        <w:t xml:space="preserve">—value derives from transformation of unlimited resources (sunlight, sand, carbon) into high-performance infrastructure.</w:t>
      </w:r>
    </w:p>
    <w:p>
      <w:pPr>
        <w:pStyle w:val="Heading3"/>
      </w:pPr>
      <w:r>
        <w:t xml:space="preserve">Key Economic Shifts</w:t>
      </w:r>
    </w:p>
    <w:p>
      <w:pPr>
        <w:pStyle w:val="ListParagraph"/>
        <w:numPr>
          <w:ilvl w:val="0"/>
          <w:numId w:val="2"/>
        </w:numPr>
      </w:pPr>
      <w:r>
        <w:rPr>
          <w:b/>
          <w:bCs/>
        </w:rPr>
        <w:t xml:space="preserve">From Depletion to Regeneration:</w:t>
      </w:r>
      <w:r>
        <w:t xml:space="preserve"> Petroleum reserves decline; GSSG feedstocks (sand, sunlight) renew continuously</w:t>
      </w:r>
    </w:p>
    <w:p>
      <w:pPr>
        <w:pStyle w:val="ListParagraph"/>
        <w:numPr>
          <w:ilvl w:val="0"/>
          <w:numId w:val="2"/>
        </w:numPr>
      </w:pPr>
      <w:r>
        <w:rPr>
          <w:b/>
          <w:bCs/>
        </w:rPr>
        <w:t xml:space="preserve">From Consumption to Production:</w:t>
      </w:r>
      <w:r>
        <w:t xml:space="preserve"> Buildings shift from energy consumers to energy producers</w:t>
      </w:r>
    </w:p>
    <w:p>
      <w:pPr>
        <w:pStyle w:val="ListParagraph"/>
        <w:numPr>
          <w:ilvl w:val="0"/>
          <w:numId w:val="2"/>
        </w:numPr>
      </w:pPr>
      <w:r>
        <w:rPr>
          <w:b/>
          <w:bCs/>
        </w:rPr>
        <w:t xml:space="preserve">From Environmental Cost to Environmental Benefit:</w:t>
      </w:r>
      <w:r>
        <w:t xml:space="preserve"> Manufacturing generates carbon credits instead of liabilities</w:t>
      </w:r>
    </w:p>
    <w:p>
      <w:pPr>
        <w:pStyle w:val="ListParagraph"/>
        <w:numPr>
          <w:ilvl w:val="0"/>
          <w:numId w:val="2"/>
        </w:numPr>
      </w:pPr>
      <w:r>
        <w:rPr>
          <w:b/>
          <w:bCs/>
        </w:rPr>
        <w:t xml:space="preserve">From Geopolitical Dependence to Technological Leadership:</w:t>
      </w:r>
      <w:r>
        <w:t xml:space="preserve"> Value derives from innovation and manufacturing capability, not resource location</w:t>
      </w:r>
    </w:p>
    <w:p>
      <w:pPr>
        <w:pStyle w:val="ListParagraph"/>
        <w:numPr>
          <w:ilvl w:val="0"/>
          <w:numId w:val="2"/>
        </w:numPr>
      </w:pPr>
      <w:r>
        <w:rPr>
          <w:b/>
          <w:bCs/>
        </w:rPr>
        <w:t xml:space="preserve">From Export Competition to Technology Licensing:</w:t>
      </w:r>
      <w:r>
        <w:t xml:space="preserve"> Dubai earns from both material sales AND intellectual property globally</w:t>
      </w:r>
    </w:p>
    <w:p>
      <w:r>
        <w:br w:type="page"/>
      </w:r>
    </w:p>
    <w:p>
      <w:pPr>
        <w:pStyle w:val="Heading1"/>
      </w:pPr>
      <w:r>
        <w:t xml:space="preserve">Part VI: Advanced Applications Beyond Buildings</w:t>
      </w:r>
    </w:p>
    <w:p>
      <w:pPr>
        <w:pStyle w:val="Heading2"/>
      </w:pPr>
      <w:r>
        <w:t xml:space="preserve">Climate-Resilient Megastructures</w:t>
      </w:r>
    </w:p>
    <w:p>
      <w:pPr>
        <w:spacing w:after="120"/>
      </w:pPr>
      <w:r>
        <w:t xml:space="preserve">GSSG enables construction of protective megastructures that shelter entire ecosystems and populations from climate extremes:</w:t>
      </w:r>
    </w:p>
    <w:p>
      <w:pPr>
        <w:pStyle w:val="ListParagraph"/>
        <w:numPr>
          <w:ilvl w:val="0"/>
          <w:numId w:val="2"/>
        </w:numPr>
      </w:pPr>
      <w:r>
        <w:rPr>
          <w:b/>
          <w:bCs/>
        </w:rPr>
        <w:t xml:space="preserve">Urban Climate Domes:</w:t>
      </w:r>
      <w:r>
        <w:t xml:space="preserve"> Transparent GSSG canopies over city centers providing cooling, energy generation, and weather protection</w:t>
      </w:r>
    </w:p>
    <w:p>
      <w:pPr>
        <w:pStyle w:val="ListParagraph"/>
        <w:numPr>
          <w:ilvl w:val="0"/>
          <w:numId w:val="2"/>
        </w:numPr>
      </w:pPr>
      <w:r>
        <w:rPr>
          <w:b/>
          <w:bCs/>
        </w:rPr>
        <w:t xml:space="preserve">Agricultural Biomes:</w:t>
      </w:r>
      <w:r>
        <w:t xml:space="preserve"> Controlled-environment food production in desert regions</w:t>
      </w:r>
    </w:p>
    <w:p>
      <w:pPr>
        <w:pStyle w:val="ListParagraph"/>
        <w:numPr>
          <w:ilvl w:val="0"/>
          <w:numId w:val="2"/>
        </w:numPr>
      </w:pPr>
      <w:r>
        <w:rPr>
          <w:b/>
          <w:bCs/>
        </w:rPr>
        <w:t xml:space="preserve">Wildlife Corridors:</w:t>
      </w:r>
      <w:r>
        <w:t xml:space="preserve"> Protected migration pathways for endangered species</w:t>
      </w:r>
    </w:p>
    <w:p>
      <w:pPr>
        <w:pStyle w:val="ListParagraph"/>
        <w:numPr>
          <w:ilvl w:val="0"/>
          <w:numId w:val="2"/>
        </w:numPr>
      </w:pPr>
      <w:r>
        <w:rPr>
          <w:b/>
          <w:bCs/>
        </w:rPr>
        <w:t xml:space="preserve">Coastal Barriers:</w:t>
      </w:r>
      <w:r>
        <w:t xml:space="preserve"> Storm surge protection that doubles as energy infrastructure</w:t>
      </w:r>
    </w:p>
    <w:p>
      <w:pPr>
        <w:pStyle w:val="Heading2"/>
      </w:pPr>
      <w:r>
        <w:t xml:space="preserve">Planetary Stabilization Infrastructure</w:t>
      </w:r>
    </w:p>
    <w:p>
      <w:pPr>
        <w:spacing w:after="120"/>
      </w:pPr>
      <w:r>
        <w:t xml:space="preserve">At global deployment scale, GSSG megastructures contribute to geophysical stabilization:</w:t>
      </w:r>
    </w:p>
    <w:p>
      <w:pPr>
        <w:pStyle w:val="ListParagraph"/>
        <w:numPr>
          <w:ilvl w:val="0"/>
          <w:numId w:val="2"/>
        </w:numPr>
      </w:pPr>
      <w:r>
        <w:rPr>
          <w:b/>
          <w:bCs/>
        </w:rPr>
        <w:t xml:space="preserve">Strategic Mass Distribution:</w:t>
      </w:r>
      <w:r>
        <w:t xml:space="preserve"> Large-scale GSSG installations positioned to counterbalance Earth's axial precession irregularities</w:t>
      </w:r>
    </w:p>
    <w:p>
      <w:pPr>
        <w:pStyle w:val="ListParagraph"/>
        <w:numPr>
          <w:ilvl w:val="0"/>
          <w:numId w:val="2"/>
        </w:numPr>
      </w:pPr>
      <w:r>
        <w:rPr>
          <w:b/>
          <w:bCs/>
        </w:rPr>
        <w:t xml:space="preserve">Chandler Wobble Correction:</w:t>
      </w:r>
      <w:r>
        <w:t xml:space="preserve"> Calculated placement in key latitudes for gyroscopic effects</w:t>
      </w:r>
    </w:p>
    <w:p>
      <w:pPr>
        <w:pStyle w:val="ListParagraph"/>
        <w:numPr>
          <w:ilvl w:val="0"/>
          <w:numId w:val="2"/>
        </w:numPr>
      </w:pPr>
      <w:r>
        <w:rPr>
          <w:b/>
          <w:bCs/>
        </w:rPr>
        <w:t xml:space="preserve">1000-Year Planning Horizon:</w:t>
      </w:r>
      <w:r>
        <w:t xml:space="preserve"> Integration with ERES Institute's millennial-scale civilization frameworks</w:t>
      </w:r>
    </w:p>
    <w:p>
      <w:pPr>
        <w:pStyle w:val="Heading2"/>
      </w:pPr>
      <w:r>
        <w:t xml:space="preserve">Human Performance Enhancement (HPE) Environments</w:t>
      </w:r>
    </w:p>
    <w:p>
      <w:pPr>
        <w:spacing w:after="120"/>
      </w:pPr>
      <w:r>
        <w:t xml:space="preserve">GSSG buildings optimized for bioenergetic resonance create measurable improvements in human performance:</w:t>
      </w:r>
    </w:p>
    <w:p>
      <w:pPr>
        <w:pStyle w:val="ListParagraph"/>
        <w:numPr>
          <w:ilvl w:val="0"/>
          <w:numId w:val="2"/>
        </w:numPr>
      </w:pPr>
      <w:r>
        <w:rPr>
          <w:b/>
          <w:bCs/>
        </w:rPr>
        <w:t xml:space="preserve">Cognitive Enhancement:</w:t>
      </w:r>
      <w:r>
        <w:t xml:space="preserve"> Harmonic resonance patterns improve focus, creativity, and decision-making</w:t>
      </w:r>
    </w:p>
    <w:p>
      <w:pPr>
        <w:pStyle w:val="ListParagraph"/>
        <w:numPr>
          <w:ilvl w:val="0"/>
          <w:numId w:val="2"/>
        </w:numPr>
      </w:pPr>
      <w:r>
        <w:rPr>
          <w:b/>
          <w:bCs/>
        </w:rPr>
        <w:t xml:space="preserve">Bioenergetic Field Coherence:</w:t>
      </w:r>
      <w:r>
        <w:t xml:space="preserve"> Graphene conductivity enables controlled electromagnetic environments</w:t>
      </w:r>
    </w:p>
    <w:p>
      <w:pPr>
        <w:pStyle w:val="ListParagraph"/>
        <w:numPr>
          <w:ilvl w:val="0"/>
          <w:numId w:val="2"/>
        </w:numPr>
      </w:pPr>
      <w:r>
        <w:rPr>
          <w:b/>
          <w:bCs/>
        </w:rPr>
        <w:t xml:space="preserve">Circadian Optimization:</w:t>
      </w:r>
      <w:r>
        <w:t xml:space="preserve"> Smart light transmission maintains healthy day-night cycles</w:t>
      </w:r>
    </w:p>
    <w:p>
      <w:pPr>
        <w:pStyle w:val="ListParagraph"/>
        <w:numPr>
          <w:ilvl w:val="0"/>
          <w:numId w:val="2"/>
        </w:numPr>
      </w:pPr>
      <w:r>
        <w:rPr>
          <w:b/>
          <w:bCs/>
        </w:rPr>
        <w:t xml:space="preserve">Consciousness Quotient (CQ) Enhancement:</w:t>
      </w:r>
      <w:r>
        <w:t xml:space="preserve"> Integration with ERES bioenergetic measurement systems (ARI/ERI/BERA)</w:t>
      </w:r>
    </w:p>
    <w:p>
      <w:pPr>
        <w:pStyle w:val="Heading2"/>
      </w:pPr>
      <w:r>
        <w:t xml:space="preserve">Space Infrastructure Extension</w:t>
      </w:r>
    </w:p>
    <w:p>
      <w:pPr>
        <w:spacing w:after="120"/>
      </w:pPr>
      <w:r>
        <w:t xml:space="preserve">GSSG technology extends beyond Earth through IONICS (ionospheric communication systems):</w:t>
      </w:r>
    </w:p>
    <w:p>
      <w:pPr>
        <w:pStyle w:val="ListParagraph"/>
        <w:numPr>
          <w:ilvl w:val="0"/>
          <w:numId w:val="2"/>
        </w:numPr>
      </w:pPr>
      <w:r>
        <w:rPr>
          <w:b/>
          <w:bCs/>
        </w:rPr>
        <w:t xml:space="preserve">Earth-to-Space Communication:</w:t>
      </w:r>
      <w:r>
        <w:t xml:space="preserve"> Atmospheric plasma coupling enables direct orbital communication</w:t>
      </w:r>
    </w:p>
    <w:p>
      <w:pPr>
        <w:pStyle w:val="ListParagraph"/>
        <w:numPr>
          <w:ilvl w:val="0"/>
          <w:numId w:val="2"/>
        </w:numPr>
      </w:pPr>
      <w:r>
        <w:rPr>
          <w:b/>
          <w:bCs/>
        </w:rPr>
        <w:t xml:space="preserve">Orbital Manufacturing:</w:t>
      </w:r>
      <w:r>
        <w:t xml:space="preserve"> GSSG production in microgravity for superior graphene alignment</w:t>
      </w:r>
    </w:p>
    <w:p>
      <w:pPr>
        <w:pStyle w:val="ListParagraph"/>
        <w:numPr>
          <w:ilvl w:val="0"/>
          <w:numId w:val="2"/>
        </w:numPr>
      </w:pPr>
      <w:r>
        <w:rPr>
          <w:b/>
          <w:bCs/>
        </w:rPr>
        <w:t xml:space="preserve">Mars Habitat Construction:</w:t>
      </w:r>
      <w:r>
        <w:t xml:space="preserve"> Martian regolith (sand) plus solar energy enables in-situ GSSG production</w:t>
      </w:r>
    </w:p>
    <w:p>
      <w:pPr>
        <w:pStyle w:val="ListParagraph"/>
        <w:numPr>
          <w:ilvl w:val="0"/>
          <w:numId w:val="2"/>
        </w:numPr>
      </w:pPr>
      <w:r>
        <w:rPr>
          <w:b/>
          <w:bCs/>
        </w:rPr>
        <w:t xml:space="preserve">Universal Space Travel Support:</w:t>
      </w:r>
      <w:r>
        <w:t xml:space="preserve"> Lightweight, energy-generating structural material for long-duration missions</w:t>
      </w:r>
    </w:p>
    <w:p>
      <w:r>
        <w:br w:type="page"/>
      </w:r>
    </w:p>
    <w:p>
      <w:pPr>
        <w:pStyle w:val="Heading1"/>
      </w:pPr>
      <w:r>
        <w:t xml:space="preserve">Part VII: Economic Impact Analysis for Dubai</w:t>
      </w:r>
    </w:p>
    <w:p>
      <w:pPr>
        <w:pStyle w:val="Heading2"/>
      </w:pPr>
      <w:r>
        <w:t xml:space="preserve">Direct Economic Benefits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Time Horizon</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Economic Activity</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Projected Value (USD)</w:t>
            </w:r>
          </w:p>
        </w:tc>
      </w:tr>
      <w:tr>
        <w:tc>
          <w:tcPr>
            <w:tcW w:type="dxa" w:w="3120"/>
            <w:tcBorders>
              <w:top w:val="single" w:color="CCCCCC" w:sz="1"/>
              <w:left w:val="single" w:color="CCCCCC" w:sz="1"/>
              <w:bottom w:val="single" w:color="CCCCCC" w:sz="1"/>
              <w:right w:val="single" w:color="CCCCCC" w:sz="1"/>
            </w:tcBorders>
          </w:tcPr>
          <w:p>
            <w:r>
              <w:t xml:space="preserve">2026-2030 (Pilot Phase)</w:t>
            </w:r>
          </w:p>
        </w:tc>
        <w:tc>
          <w:tcPr>
            <w:tcW w:type="dxa" w:w="3120"/>
            <w:tcBorders>
              <w:top w:val="single" w:color="CCCCCC" w:sz="1"/>
              <w:left w:val="single" w:color="CCCCCC" w:sz="1"/>
              <w:bottom w:val="single" w:color="CCCCCC" w:sz="1"/>
              <w:right w:val="single" w:color="CCCCCC" w:sz="1"/>
            </w:tcBorders>
          </w:tcPr>
          <w:p>
            <w:r>
              <w:t xml:space="preserve">R&amp;D, facility construction, demonstration projects</w:t>
            </w:r>
          </w:p>
        </w:tc>
        <w:tc>
          <w:tcPr>
            <w:tcW w:type="dxa" w:w="3120"/>
            <w:tcBorders>
              <w:top w:val="single" w:color="CCCCCC" w:sz="1"/>
              <w:left w:val="single" w:color="CCCCCC" w:sz="1"/>
              <w:bottom w:val="single" w:color="CCCCCC" w:sz="1"/>
              <w:right w:val="single" w:color="CCCCCC" w:sz="1"/>
            </w:tcBorders>
          </w:tcPr>
          <w:p>
            <w:r>
              <w:t xml:space="preserve">$1-2 billion investment; $200-500 million revenue</w:t>
            </w:r>
          </w:p>
        </w:tc>
      </w:tr>
      <w:tr>
        <w:tc>
          <w:tcPr>
            <w:tcW w:type="dxa" w:w="3120"/>
            <w:tcBorders>
              <w:top w:val="single" w:color="CCCCCC" w:sz="1"/>
              <w:left w:val="single" w:color="CCCCCC" w:sz="1"/>
              <w:bottom w:val="single" w:color="CCCCCC" w:sz="1"/>
              <w:right w:val="single" w:color="CCCCCC" w:sz="1"/>
            </w:tcBorders>
          </w:tcPr>
          <w:p>
            <w:r>
              <w:t xml:space="preserve">2031-2035 (Scale-Up)</w:t>
            </w:r>
          </w:p>
        </w:tc>
        <w:tc>
          <w:tcPr>
            <w:tcW w:type="dxa" w:w="3120"/>
            <w:tcBorders>
              <w:top w:val="single" w:color="CCCCCC" w:sz="1"/>
              <w:left w:val="single" w:color="CCCCCC" w:sz="1"/>
              <w:bottom w:val="single" w:color="CCCCCC" w:sz="1"/>
              <w:right w:val="single" w:color="CCCCCC" w:sz="1"/>
            </w:tcBorders>
          </w:tcPr>
          <w:p>
            <w:r>
              <w:t xml:space="preserve">Production expansion, domestic market penetration, regional exports</w:t>
            </w:r>
          </w:p>
        </w:tc>
        <w:tc>
          <w:tcPr>
            <w:tcW w:type="dxa" w:w="3120"/>
            <w:tcBorders>
              <w:top w:val="single" w:color="CCCCCC" w:sz="1"/>
              <w:left w:val="single" w:color="CCCCCC" w:sz="1"/>
              <w:bottom w:val="single" w:color="CCCCCC" w:sz="1"/>
              <w:right w:val="single" w:color="CCCCCC" w:sz="1"/>
            </w:tcBorders>
          </w:tcPr>
          <w:p>
            <w:r>
              <w:t xml:space="preserve">$5-8 billion investment; $8-15 billion cumulative revenue</w:t>
            </w:r>
          </w:p>
        </w:tc>
      </w:tr>
      <w:tr>
        <w:tc>
          <w:tcPr>
            <w:tcW w:type="dxa" w:w="3120"/>
            <w:tcBorders>
              <w:top w:val="single" w:color="CCCCCC" w:sz="1"/>
              <w:left w:val="single" w:color="CCCCCC" w:sz="1"/>
              <w:bottom w:val="single" w:color="CCCCCC" w:sz="1"/>
              <w:right w:val="single" w:color="CCCCCC" w:sz="1"/>
            </w:tcBorders>
          </w:tcPr>
          <w:p>
            <w:r>
              <w:t xml:space="preserve">2036-2050 (Global Leadership)</w:t>
            </w:r>
          </w:p>
        </w:tc>
        <w:tc>
          <w:tcPr>
            <w:tcW w:type="dxa" w:w="3120"/>
            <w:tcBorders>
              <w:top w:val="single" w:color="CCCCCC" w:sz="1"/>
              <w:left w:val="single" w:color="CCCCCC" w:sz="1"/>
              <w:bottom w:val="single" w:color="CCCCCC" w:sz="1"/>
              <w:right w:val="single" w:color="CCCCCC" w:sz="1"/>
            </w:tcBorders>
          </w:tcPr>
          <w:p>
            <w:r>
              <w:t xml:space="preserve">Global export dominance, licensing revenue, continuous innovation</w:t>
            </w:r>
          </w:p>
        </w:tc>
        <w:tc>
          <w:tcPr>
            <w:tcW w:type="dxa" w:w="3120"/>
            <w:tcBorders>
              <w:top w:val="single" w:color="CCCCCC" w:sz="1"/>
              <w:left w:val="single" w:color="CCCCCC" w:sz="1"/>
              <w:bottom w:val="single" w:color="CCCCCC" w:sz="1"/>
              <w:right w:val="single" w:color="CCCCCC" w:sz="1"/>
            </w:tcBorders>
          </w:tcPr>
          <w:p>
            <w:r>
              <w:t xml:space="preserve">$15-25 billion annual revenue; $300-500 billion cumulative</w:t>
            </w:r>
          </w:p>
        </w:tc>
      </w:tr>
    </w:tbl>
    <w:p>
      <w:pPr>
        <w:pStyle w:val="Heading2"/>
        <w:spacing w:before="240"/>
      </w:pPr>
      <w:r>
        <w:t xml:space="preserve">Indirect Economic Multipliers</w:t>
      </w:r>
    </w:p>
    <w:p>
      <w:pPr>
        <w:pStyle w:val="ListParagraph"/>
        <w:numPr>
          <w:ilvl w:val="0"/>
          <w:numId w:val="2"/>
        </w:numPr>
      </w:pPr>
      <w:r>
        <w:rPr>
          <w:b/>
          <w:bCs/>
        </w:rPr>
        <w:t xml:space="preserve">Energy Independence Value:</w:t>
      </w:r>
      <w:r>
        <w:t xml:space="preserve"> $2-4 billion/year savings on imported natural gas for electricity generation</w:t>
      </w:r>
    </w:p>
    <w:p>
      <w:pPr>
        <w:pStyle w:val="ListParagraph"/>
        <w:numPr>
          <w:ilvl w:val="0"/>
          <w:numId w:val="2"/>
        </w:numPr>
      </w:pPr>
      <w:r>
        <w:rPr>
          <w:b/>
          <w:bCs/>
        </w:rPr>
        <w:t xml:space="preserve">Real Estate Premium:</w:t>
      </w:r>
      <w:r>
        <w:t xml:space="preserve"> GSSG buildings command 15-30% higher valuations due to net-zero energy costs</w:t>
      </w:r>
    </w:p>
    <w:p>
      <w:pPr>
        <w:pStyle w:val="ListParagraph"/>
        <w:numPr>
          <w:ilvl w:val="0"/>
          <w:numId w:val="2"/>
        </w:numPr>
      </w:pPr>
      <w:r>
        <w:rPr>
          <w:b/>
          <w:bCs/>
        </w:rPr>
        <w:t xml:space="preserve">Tourism Enhancement:</w:t>
      </w:r>
      <w:r>
        <w:t xml:space="preserve"> Architectural innovation attracts additional 2-5 million visitors annually</w:t>
      </w:r>
    </w:p>
    <w:p>
      <w:pPr>
        <w:pStyle w:val="ListParagraph"/>
        <w:numPr>
          <w:ilvl w:val="0"/>
          <w:numId w:val="2"/>
        </w:numPr>
      </w:pPr>
      <w:r>
        <w:rPr>
          <w:b/>
          <w:bCs/>
        </w:rPr>
        <w:t xml:space="preserve">Technology Hub Status:</w:t>
      </w:r>
      <w:r>
        <w:t xml:space="preserve"> Advanced materials expertise attracts R&amp;D centers, startups, and talent migration</w:t>
      </w:r>
    </w:p>
    <w:p>
      <w:pPr>
        <w:pStyle w:val="ListParagraph"/>
        <w:numPr>
          <w:ilvl w:val="0"/>
          <w:numId w:val="2"/>
        </w:numPr>
      </w:pPr>
      <w:r>
        <w:rPr>
          <w:b/>
          <w:bCs/>
        </w:rPr>
        <w:t xml:space="preserve">Carbon Credit Revenue:</w:t>
      </w:r>
      <w:r>
        <w:t xml:space="preserve"> $500 million - $1 billion/year from carbon-negative manufacturing</w:t>
      </w:r>
    </w:p>
    <w:p>
      <w:pPr>
        <w:pStyle w:val="ListParagraph"/>
        <w:numPr>
          <w:ilvl w:val="0"/>
          <w:numId w:val="2"/>
        </w:numPr>
      </w:pPr>
      <w:r>
        <w:rPr>
          <w:b/>
          <w:bCs/>
        </w:rPr>
        <w:t xml:space="preserve">Supply Chain Development:</w:t>
      </w:r>
      <w:r>
        <w:t xml:space="preserve"> Creation of materials science ecosystem (testing, certification, installation, maintenance)</w:t>
      </w:r>
    </w:p>
    <w:p>
      <w:pPr>
        <w:pStyle w:val="Heading2"/>
      </w:pPr>
      <w:r>
        <w:t xml:space="preserve">Workforce Transformation</w:t>
      </w:r>
    </w:p>
    <w:p>
      <w:pPr>
        <w:spacing w:after="120"/>
      </w:pPr>
      <w:r>
        <w:t xml:space="preserve">GSSG industry creates high-value employment pathways:</w:t>
      </w:r>
    </w:p>
    <w:p>
      <w:pPr>
        <w:pStyle w:val="ListParagraph"/>
        <w:numPr>
          <w:ilvl w:val="0"/>
          <w:numId w:val="2"/>
        </w:numPr>
      </w:pPr>
      <w:r>
        <w:rPr>
          <w:b/>
          <w:bCs/>
        </w:rPr>
        <w:t xml:space="preserve">Materials Scientists &amp; Engineers:</w:t>
      </w:r>
      <w:r>
        <w:t xml:space="preserve"> 5,000+ positions in R&amp;D, quality control, process optimization</w:t>
      </w:r>
    </w:p>
    <w:p>
      <w:pPr>
        <w:pStyle w:val="ListParagraph"/>
        <w:numPr>
          <w:ilvl w:val="0"/>
          <w:numId w:val="2"/>
        </w:numPr>
      </w:pPr>
      <w:r>
        <w:rPr>
          <w:b/>
          <w:bCs/>
        </w:rPr>
        <w:t xml:space="preserve">Manufacturing Operations:</w:t>
      </w:r>
      <w:r>
        <w:t xml:space="preserve"> 25,000+ positions in production, logistics, facility management</w:t>
      </w:r>
    </w:p>
    <w:p>
      <w:pPr>
        <w:pStyle w:val="ListParagraph"/>
        <w:numPr>
          <w:ilvl w:val="0"/>
          <w:numId w:val="2"/>
        </w:numPr>
      </w:pPr>
      <w:r>
        <w:rPr>
          <w:b/>
          <w:bCs/>
        </w:rPr>
        <w:t xml:space="preserve">Installation &amp; Construction:</w:t>
      </w:r>
      <w:r>
        <w:t xml:space="preserve"> 50,000+ certified installers, project managers, quality inspectors</w:t>
      </w:r>
    </w:p>
    <w:p>
      <w:pPr>
        <w:pStyle w:val="ListParagraph"/>
        <w:numPr>
          <w:ilvl w:val="0"/>
          <w:numId w:val="2"/>
        </w:numPr>
      </w:pPr>
      <w:r>
        <w:rPr>
          <w:b/>
          <w:bCs/>
        </w:rPr>
        <w:t xml:space="preserve">Technology Integration:</w:t>
      </w:r>
      <w:r>
        <w:t xml:space="preserve"> 10,000+ software engineers, data analysts, smart city systems specialists</w:t>
      </w:r>
    </w:p>
    <w:p>
      <w:pPr>
        <w:pStyle w:val="ListParagraph"/>
        <w:numPr>
          <w:ilvl w:val="0"/>
          <w:numId w:val="2"/>
        </w:numPr>
      </w:pPr>
      <w:r>
        <w:rPr>
          <w:b/>
          <w:bCs/>
        </w:rPr>
        <w:t xml:space="preserve">Global Sales &amp; Support:</w:t>
      </w:r>
      <w:r>
        <w:t xml:space="preserve"> 15,000+ export marketing, international project coordination, customer service</w:t>
      </w:r>
    </w:p>
    <w:p>
      <w:r>
        <w:br w:type="page"/>
      </w:r>
    </w:p>
    <w:p>
      <w:pPr>
        <w:pStyle w:val="Heading1"/>
      </w:pPr>
      <w:r>
        <w:t xml:space="preserve">Part VIII: Risk Mitigation &amp; Success Factors</w:t>
      </w:r>
    </w:p>
    <w:p>
      <w:pPr>
        <w:pStyle w:val="Heading2"/>
      </w:pPr>
      <w:r>
        <w:t xml:space="preserve">Technical Risks &amp; Mitigation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Risk</w:t>
            </w:r>
          </w:p>
        </w:tc>
        <w:tc>
          <w:tcPr>
            <w:tcW w:type="dxa" w:w="468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Mitigation Strategy</w:t>
            </w:r>
          </w:p>
        </w:tc>
      </w:tr>
      <w:tr>
        <w:tc>
          <w:tcPr>
            <w:tcW w:type="dxa" w:w="4680"/>
            <w:tcBorders>
              <w:top w:val="single" w:color="CCCCCC" w:sz="1"/>
              <w:left w:val="single" w:color="CCCCCC" w:sz="1"/>
              <w:bottom w:val="single" w:color="CCCCCC" w:sz="1"/>
              <w:right w:val="single" w:color="CCCCCC" w:sz="1"/>
            </w:tcBorders>
          </w:tcPr>
          <w:p>
            <w:r>
              <w:t xml:space="preserve">Graphene production scaling challenges</w:t>
            </w:r>
          </w:p>
        </w:tc>
        <w:tc>
          <w:tcPr>
            <w:tcW w:type="dxa" w:w="4680"/>
            <w:tcBorders>
              <w:top w:val="single" w:color="CCCCCC" w:sz="1"/>
              <w:left w:val="single" w:color="CCCCCC" w:sz="1"/>
              <w:bottom w:val="single" w:color="CCCCCC" w:sz="1"/>
              <w:right w:val="single" w:color="CCCCCC" w:sz="1"/>
            </w:tcBorders>
          </w:tcPr>
          <w:p>
            <w:r>
              <w:t xml:space="preserve">Partner with established graphene manufacturers; invest in proprietary CVD technology; develop multiple production pathways</w:t>
            </w:r>
          </w:p>
        </w:tc>
      </w:tr>
      <w:tr>
        <w:tc>
          <w:tcPr>
            <w:tcW w:type="dxa" w:w="4680"/>
            <w:tcBorders>
              <w:top w:val="single" w:color="CCCCCC" w:sz="1"/>
              <w:left w:val="single" w:color="CCCCCC" w:sz="1"/>
              <w:bottom w:val="single" w:color="CCCCCC" w:sz="1"/>
              <w:right w:val="single" w:color="CCCCCC" w:sz="1"/>
            </w:tcBorders>
          </w:tcPr>
          <w:p>
            <w:r>
              <w:t xml:space="preserve">Long-term durability unproven in extreme desert conditions</w:t>
            </w:r>
          </w:p>
        </w:tc>
        <w:tc>
          <w:tcPr>
            <w:tcW w:type="dxa" w:w="4680"/>
            <w:tcBorders>
              <w:top w:val="single" w:color="CCCCCC" w:sz="1"/>
              <w:left w:val="single" w:color="CCCCCC" w:sz="1"/>
              <w:bottom w:val="single" w:color="CCCCCC" w:sz="1"/>
              <w:right w:val="single" w:color="CCCCCC" w:sz="1"/>
            </w:tcBorders>
          </w:tcPr>
          <w:p>
            <w:r>
              <w:t xml:space="preserve">Accelerated aging testing in Dubai climate chambers; 5-year pilot monitoring program; performance guarantees with insurance backing</w:t>
            </w:r>
          </w:p>
        </w:tc>
      </w:tr>
      <w:tr>
        <w:tc>
          <w:tcPr>
            <w:tcW w:type="dxa" w:w="4680"/>
            <w:tcBorders>
              <w:top w:val="single" w:color="CCCCCC" w:sz="1"/>
              <w:left w:val="single" w:color="CCCCCC" w:sz="1"/>
              <w:bottom w:val="single" w:color="CCCCCC" w:sz="1"/>
              <w:right w:val="single" w:color="CCCCCC" w:sz="1"/>
            </w:tcBorders>
          </w:tcPr>
          <w:p>
            <w:r>
              <w:t xml:space="preserve">Grid integration complexity for distributed generation</w:t>
            </w:r>
          </w:p>
        </w:tc>
        <w:tc>
          <w:tcPr>
            <w:tcW w:type="dxa" w:w="4680"/>
            <w:tcBorders>
              <w:top w:val="single" w:color="CCCCCC" w:sz="1"/>
              <w:left w:val="single" w:color="CCCCCC" w:sz="1"/>
              <w:bottom w:val="single" w:color="CCCCCC" w:sz="1"/>
              <w:right w:val="single" w:color="CCCCCC" w:sz="1"/>
            </w:tcBorders>
          </w:tcPr>
          <w:p>
            <w:r>
              <w:t xml:space="preserve">DEWA partnership for smart grid protocol development; phase rollout aligned with grid modernization; battery storage integration</w:t>
            </w:r>
          </w:p>
        </w:tc>
      </w:tr>
      <w:tr>
        <w:tc>
          <w:tcPr>
            <w:tcW w:type="dxa" w:w="4680"/>
            <w:tcBorders>
              <w:top w:val="single" w:color="CCCCCC" w:sz="1"/>
              <w:left w:val="single" w:color="CCCCCC" w:sz="1"/>
              <w:bottom w:val="single" w:color="CCCCCC" w:sz="1"/>
              <w:right w:val="single" w:color="CCCCCC" w:sz="1"/>
            </w:tcBorders>
          </w:tcPr>
          <w:p>
            <w:r>
              <w:t xml:space="preserve">Installation expertise shortage</w:t>
            </w:r>
          </w:p>
        </w:tc>
        <w:tc>
          <w:tcPr>
            <w:tcW w:type="dxa" w:w="4680"/>
            <w:tcBorders>
              <w:top w:val="single" w:color="CCCCCC" w:sz="1"/>
              <w:left w:val="single" w:color="CCCCCC" w:sz="1"/>
              <w:bottom w:val="single" w:color="CCCCCC" w:sz="1"/>
              <w:right w:val="single" w:color="CCCCCC" w:sz="1"/>
            </w:tcBorders>
          </w:tcPr>
          <w:p>
            <w:r>
              <w:t xml:space="preserve">Establish GSSG Academy in partnership with Dubai technical colleges; certification programs; apprenticeship pathways from petrochemical sector</w:t>
            </w:r>
          </w:p>
        </w:tc>
      </w:tr>
    </w:tbl>
    <w:p>
      <w:pPr>
        <w:pStyle w:val="Heading2"/>
        <w:spacing w:before="240"/>
      </w:pPr>
      <w:r>
        <w:t xml:space="preserve">Market Risks &amp; Mitigation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Risk</w:t>
            </w:r>
          </w:p>
        </w:tc>
        <w:tc>
          <w:tcPr>
            <w:tcW w:type="dxa" w:w="468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Mitigation Strategy</w:t>
            </w:r>
          </w:p>
        </w:tc>
      </w:tr>
      <w:tr>
        <w:tc>
          <w:tcPr>
            <w:tcW w:type="dxa" w:w="4680"/>
            <w:tcBorders>
              <w:top w:val="single" w:color="CCCCCC" w:sz="1"/>
              <w:left w:val="single" w:color="CCCCCC" w:sz="1"/>
              <w:bottom w:val="single" w:color="CCCCCC" w:sz="1"/>
              <w:right w:val="single" w:color="CCCCCC" w:sz="1"/>
            </w:tcBorders>
          </w:tcPr>
          <w:p>
            <w:r>
              <w:t xml:space="preserve">Competition from Chinese manufacturers</w:t>
            </w:r>
          </w:p>
        </w:tc>
        <w:tc>
          <w:tcPr>
            <w:tcW w:type="dxa" w:w="4680"/>
            <w:tcBorders>
              <w:top w:val="single" w:color="CCCCCC" w:sz="1"/>
              <w:left w:val="single" w:color="CCCCCC" w:sz="1"/>
              <w:bottom w:val="single" w:color="CCCCCC" w:sz="1"/>
              <w:right w:val="single" w:color="CCCCCC" w:sz="1"/>
            </w:tcBorders>
          </w:tcPr>
          <w:p>
            <w:r>
              <w:t xml:space="preserve">Secure global patents; establish Dubai as standards authority; focus on premium quality and integrated systems; strategic partnerships in target markets</w:t>
            </w:r>
          </w:p>
        </w:tc>
      </w:tr>
      <w:tr>
        <w:tc>
          <w:tcPr>
            <w:tcW w:type="dxa" w:w="4680"/>
            <w:tcBorders>
              <w:top w:val="single" w:color="CCCCCC" w:sz="1"/>
              <w:left w:val="single" w:color="CCCCCC" w:sz="1"/>
              <w:bottom w:val="single" w:color="CCCCCC" w:sz="1"/>
              <w:right w:val="single" w:color="CCCCCC" w:sz="1"/>
            </w:tcBorders>
          </w:tcPr>
          <w:p>
            <w:r>
              <w:t xml:space="preserve">Slower-than-expected adoption due to construction industry conservatism</w:t>
            </w:r>
          </w:p>
        </w:tc>
        <w:tc>
          <w:tcPr>
            <w:tcW w:type="dxa" w:w="4680"/>
            <w:tcBorders>
              <w:top w:val="single" w:color="CCCCCC" w:sz="1"/>
              <w:left w:val="single" w:color="CCCCCC" w:sz="1"/>
              <w:bottom w:val="single" w:color="CCCCCC" w:sz="1"/>
              <w:right w:val="single" w:color="CCCCCC" w:sz="1"/>
            </w:tcBorders>
          </w:tcPr>
          <w:p>
            <w:r>
              <w:t xml:space="preserve">Government mandate for public buildings; financial incentives for private adoption; showcase projects demonstrating ROI; insurance products reducing perceived risk</w:t>
            </w:r>
          </w:p>
        </w:tc>
      </w:tr>
      <w:tr>
        <w:tc>
          <w:tcPr>
            <w:tcW w:type="dxa" w:w="4680"/>
            <w:tcBorders>
              <w:top w:val="single" w:color="CCCCCC" w:sz="1"/>
              <w:left w:val="single" w:color="CCCCCC" w:sz="1"/>
              <w:bottom w:val="single" w:color="CCCCCC" w:sz="1"/>
              <w:right w:val="single" w:color="CCCCCC" w:sz="1"/>
            </w:tcBorders>
          </w:tcPr>
          <w:p>
            <w:r>
              <w:t xml:space="preserve">Export market access barriers (tariffs, local content requirements)</w:t>
            </w:r>
          </w:p>
        </w:tc>
        <w:tc>
          <w:tcPr>
            <w:tcW w:type="dxa" w:w="4680"/>
            <w:tcBorders>
              <w:top w:val="single" w:color="CCCCCC" w:sz="1"/>
              <w:left w:val="single" w:color="CCCCCC" w:sz="1"/>
              <w:bottom w:val="single" w:color="CCCCCC" w:sz="1"/>
              <w:right w:val="single" w:color="CCCCCC" w:sz="1"/>
            </w:tcBorders>
          </w:tcPr>
          <w:p>
            <w:r>
              <w:t xml:space="preserve">Licensing model for local production; joint ventures in key markets; trade agreement negotiations emphasizing climate benefits; technology transfer partnerships</w:t>
            </w:r>
          </w:p>
        </w:tc>
      </w:tr>
    </w:tbl>
    <w:p>
      <w:pPr>
        <w:pStyle w:val="Heading2"/>
        <w:spacing w:before="240"/>
      </w:pPr>
      <w:r>
        <w:t xml:space="preserve">Critical Success Factors</w:t>
      </w:r>
    </w:p>
    <w:p>
      <w:pPr>
        <w:pStyle w:val="ListParagraph"/>
        <w:numPr>
          <w:ilvl w:val="0"/>
          <w:numId w:val="2"/>
        </w:numPr>
      </w:pPr>
      <w:r>
        <w:rPr>
          <w:b/>
          <w:bCs/>
        </w:rPr>
        <w:t xml:space="preserve">Leadership Commitment:</w:t>
      </w:r>
      <w:r>
        <w:t xml:space="preserve"> Direct patronage and vision articulation from Your Highness establishes credibility and removes bureaucratic barriers</w:t>
      </w:r>
    </w:p>
    <w:p>
      <w:pPr>
        <w:pStyle w:val="ListParagraph"/>
        <w:numPr>
          <w:ilvl w:val="0"/>
          <w:numId w:val="2"/>
        </w:numPr>
      </w:pPr>
      <w:r>
        <w:rPr>
          <w:b/>
          <w:bCs/>
        </w:rPr>
        <w:t xml:space="preserve">Integrated Regulatory Framework:</w:t>
      </w:r>
      <w:r>
        <w:t xml:space="preserve"> Dubai Municipality, DEWA, and DED coordination for streamlined approvals</w:t>
      </w:r>
    </w:p>
    <w:p>
      <w:pPr>
        <w:pStyle w:val="ListParagraph"/>
        <w:numPr>
          <w:ilvl w:val="0"/>
          <w:numId w:val="2"/>
        </w:numPr>
      </w:pPr>
      <w:r>
        <w:rPr>
          <w:b/>
          <w:bCs/>
        </w:rPr>
        <w:t xml:space="preserve">Strategic Capital Allocation:</w:t>
      </w:r>
      <w:r>
        <w:t xml:space="preserve"> Dubai Future Foundation, DIFC investment vehicles, sovereign wealth fund participation</w:t>
      </w:r>
    </w:p>
    <w:p>
      <w:pPr>
        <w:pStyle w:val="ListParagraph"/>
        <w:numPr>
          <w:ilvl w:val="0"/>
          <w:numId w:val="2"/>
        </w:numPr>
      </w:pPr>
      <w:r>
        <w:rPr>
          <w:b/>
          <w:bCs/>
        </w:rPr>
        <w:t xml:space="preserve">Global Partnership Network:</w:t>
      </w:r>
      <w:r>
        <w:t xml:space="preserve"> ERES Institute technical collaboration, international university research programs, multinational corporate alliances</w:t>
      </w:r>
    </w:p>
    <w:p>
      <w:pPr>
        <w:pStyle w:val="ListParagraph"/>
        <w:numPr>
          <w:ilvl w:val="0"/>
          <w:numId w:val="2"/>
        </w:numPr>
      </w:pPr>
      <w:r>
        <w:rPr>
          <w:b/>
          <w:bCs/>
        </w:rPr>
        <w:t xml:space="preserve">Talent Magnetism:</w:t>
      </w:r>
      <w:r>
        <w:t xml:space="preserve"> Attract world-class materials scientists, engineers, and technologists through competitive compensation, research funding, and quality of life</w:t>
      </w:r>
    </w:p>
    <w:p>
      <w:pPr>
        <w:pStyle w:val="ListParagraph"/>
        <w:numPr>
          <w:ilvl w:val="0"/>
          <w:numId w:val="2"/>
        </w:numPr>
      </w:pPr>
      <w:r>
        <w:rPr>
          <w:b/>
          <w:bCs/>
        </w:rPr>
        <w:t xml:space="preserve">Continuous Innovation Culture:</w:t>
      </w:r>
      <w:r>
        <w:t xml:space="preserve"> Maintain R&amp;D investment at 10-15% of revenue; create innovation labs; encourage entrepreneurial spinoffs</w:t>
      </w:r>
    </w:p>
    <w:p>
      <w:r>
        <w:br w:type="page"/>
      </w:r>
    </w:p>
    <w:p>
      <w:pPr>
        <w:pStyle w:val="Heading1"/>
      </w:pPr>
      <w:r>
        <w:t xml:space="preserve">Part IX: Recommended Next Steps</w:t>
      </w:r>
    </w:p>
    <w:p>
      <w:pPr>
        <w:pStyle w:val="Heading2"/>
      </w:pPr>
      <w:r>
        <w:t xml:space="preserve">Immediate Actions (Next 90 Days)</w:t>
      </w:r>
    </w:p>
    <w:p>
      <w:pPr>
        <w:pStyle w:val="ListParagraph"/>
        <w:numPr>
          <w:ilvl w:val="0"/>
          <w:numId w:val="2"/>
        </w:numPr>
      </w:pPr>
      <w:r>
        <w:rPr>
          <w:b/>
          <w:bCs/>
        </w:rPr>
        <w:t xml:space="preserve">Establish GSSG Task Force:</w:t>
      </w:r>
      <w:r>
        <w:t xml:space="preserve"> Cross-agency working group (Dubai Municipality, DEWA, DIFC, Dubai Future Foundation) with weekly meetings and clear deliverables</w:t>
      </w:r>
    </w:p>
    <w:p>
      <w:pPr>
        <w:pStyle w:val="ListParagraph"/>
        <w:numPr>
          <w:ilvl w:val="0"/>
          <w:numId w:val="2"/>
        </w:numPr>
      </w:pPr>
      <w:r>
        <w:rPr>
          <w:b/>
          <w:bCs/>
        </w:rPr>
        <w:t xml:space="preserve">Commission Feasibility Study:</w:t>
      </w:r>
      <w:r>
        <w:t xml:space="preserve"> $500K comprehensive technical and economic analysis by international engineering firm</w:t>
      </w:r>
    </w:p>
    <w:p>
      <w:pPr>
        <w:pStyle w:val="ListParagraph"/>
        <w:numPr>
          <w:ilvl w:val="0"/>
          <w:numId w:val="2"/>
        </w:numPr>
      </w:pPr>
      <w:r>
        <w:rPr>
          <w:b/>
          <w:bCs/>
        </w:rPr>
        <w:t xml:space="preserve">Initiate ERES Institute Partnership:</w:t>
      </w:r>
      <w:r>
        <w:t xml:space="preserve"> Technology transfer agreement, joint R&amp;D program, intellectual property framework</w:t>
      </w:r>
    </w:p>
    <w:p>
      <w:pPr>
        <w:pStyle w:val="ListParagraph"/>
        <w:numPr>
          <w:ilvl w:val="0"/>
          <w:numId w:val="2"/>
        </w:numPr>
      </w:pPr>
      <w:r>
        <w:rPr>
          <w:b/>
          <w:bCs/>
        </w:rPr>
        <w:t xml:space="preserve">Identify Pilot Site:</w:t>
      </w:r>
      <w:r>
        <w:t xml:space="preserve"> Select demonstration project location in Dubai Industrial City or Jebel Ali</w:t>
      </w:r>
    </w:p>
    <w:p>
      <w:pPr>
        <w:pStyle w:val="ListParagraph"/>
        <w:numPr>
          <w:ilvl w:val="0"/>
          <w:numId w:val="2"/>
        </w:numPr>
      </w:pPr>
      <w:r>
        <w:rPr>
          <w:b/>
          <w:bCs/>
        </w:rPr>
        <w:t xml:space="preserve">Secure Initial Funding:</w:t>
      </w:r>
      <w:r>
        <w:t xml:space="preserve"> $50-100M commitment for Phase 1 from Dubai Future Foundation or targeted sovereign wealth allocation</w:t>
      </w:r>
    </w:p>
    <w:p>
      <w:pPr>
        <w:pStyle w:val="Heading2"/>
      </w:pPr>
      <w:r>
        <w:t xml:space="preserve">6-Month Milestones</w:t>
      </w:r>
    </w:p>
    <w:p>
      <w:pPr>
        <w:pStyle w:val="ListParagraph"/>
        <w:numPr>
          <w:ilvl w:val="0"/>
          <w:numId w:val="2"/>
        </w:numPr>
      </w:pPr>
      <w:r>
        <w:t xml:space="preserve">Complete detailed engineering designs for pilot production facility</w:t>
      </w:r>
    </w:p>
    <w:p>
      <w:pPr>
        <w:pStyle w:val="ListParagraph"/>
        <w:numPr>
          <w:ilvl w:val="0"/>
          <w:numId w:val="2"/>
        </w:numPr>
      </w:pPr>
      <w:r>
        <w:t xml:space="preserve">Finalize strategic partnerships with graphene suppliers, photovoltaic manufacturers, and construction firms</w:t>
      </w:r>
    </w:p>
    <w:p>
      <w:pPr>
        <w:pStyle w:val="ListParagraph"/>
        <w:numPr>
          <w:ilvl w:val="0"/>
          <w:numId w:val="2"/>
        </w:numPr>
      </w:pPr>
      <w:r>
        <w:t xml:space="preserve">Develop regulatory framework for GSSG building approvals and grid integration</w:t>
      </w:r>
    </w:p>
    <w:p>
      <w:pPr>
        <w:pStyle w:val="ListParagraph"/>
        <w:numPr>
          <w:ilvl w:val="0"/>
          <w:numId w:val="2"/>
        </w:numPr>
      </w:pPr>
      <w:r>
        <w:t xml:space="preserve">Launch workforce development programs in partnership with technical colleges</w:t>
      </w:r>
    </w:p>
    <w:p>
      <w:pPr>
        <w:pStyle w:val="ListParagraph"/>
        <w:numPr>
          <w:ilvl w:val="0"/>
          <w:numId w:val="2"/>
        </w:numPr>
      </w:pPr>
      <w:r>
        <w:t xml:space="preserve">Initiate patent applications for Dubai-specific GSSG innovations</w:t>
      </w:r>
    </w:p>
    <w:p>
      <w:pPr>
        <w:pStyle w:val="ListParagraph"/>
        <w:numPr>
          <w:ilvl w:val="0"/>
          <w:numId w:val="2"/>
        </w:numPr>
      </w:pPr>
      <w:r>
        <w:t xml:space="preserve">Begin international standards body engagement (ISO, IEC) for GSSG specifications</w:t>
      </w:r>
    </w:p>
    <w:p>
      <w:pPr>
        <w:pStyle w:val="Heading2"/>
      </w:pPr>
      <w:r>
        <w:t xml:space="preserve">12-Month Target: Groundbreaking</w:t>
      </w:r>
    </w:p>
    <w:p>
      <w:pPr>
        <w:spacing w:after="120"/>
      </w:pPr>
      <w:r>
        <w:t xml:space="preserve">By January 2027, Dubai breaks ground on the world's first commercial-scale GSSG production facility. This event becomes a global media milestone, positioning Dubai as the undisputed leader in post-petroleum energy infrastructure.</w:t>
      </w:r>
    </w:p>
    <w:p>
      <w:r>
        <w:br w:type="page"/>
      </w:r>
    </w:p>
    <w:p>
      <w:pPr>
        <w:pStyle w:val="Heading1"/>
      </w:pPr>
      <w:r>
        <w:t xml:space="preserve">Part X: Vision for Dubai's Energy Future</w:t>
      </w:r>
    </w:p>
    <w:p>
      <w:pPr>
        <w:spacing w:after="120"/>
      </w:pPr>
      <w:r>
        <w:t xml:space="preserve">Your Highness,</w:t>
      </w:r>
    </w:p>
    <w:p>
      <w:pPr>
        <w:spacing w:after="120"/>
      </w:pPr>
      <w:r>
        <w:t xml:space="preserve">History will remember this decade as the moment when humanity either successfully navigated the energy transition or failed catastrophically. Dubai has never been content to merely adapt to global trends—it has consistently created the future that others follow.</w:t>
      </w:r>
    </w:p>
    <w:p>
      <w:pPr>
        <w:spacing w:after="120"/>
      </w:pPr>
      <w:r>
        <w:t xml:space="preserve">GSSG technology represents more than a building material. It is a comprehensive solution to the defining challenge of our time: how to maintain prosperity and quality of life while eliminating dependence on fossil fuels. More importantly, it offers a pathway that transforms Dubai's greatest historical strength—petroleum expertise—into the foundation for permanent global technology leadership.</w:t>
      </w:r>
    </w:p>
    <w:p>
      <w:pPr>
        <w:pStyle w:val="Heading2"/>
      </w:pPr>
      <w:r>
        <w:t xml:space="preserve">The Dubai Advantage</w:t>
      </w:r>
    </w:p>
    <w:p>
      <w:pPr>
        <w:spacing w:after="120"/>
      </w:pPr>
      <w:r>
        <w:t xml:space="preserve">No other nation possesses Dubai's unique combination of advantages for GSSG leadership:</w:t>
      </w:r>
    </w:p>
    <w:p>
      <w:pPr>
        <w:pStyle w:val="ListParagraph"/>
        <w:numPr>
          <w:ilvl w:val="0"/>
          <w:numId w:val="2"/>
        </w:numPr>
      </w:pPr>
      <w:r>
        <w:rPr>
          <w:b/>
          <w:bCs/>
        </w:rPr>
        <w:t xml:space="preserve">Unlimited desert sand</w:t>
      </w:r>
      <w:r>
        <w:t xml:space="preserve"> (most abundant resource in the region)</w:t>
      </w:r>
    </w:p>
    <w:p>
      <w:pPr>
        <w:pStyle w:val="ListParagraph"/>
        <w:numPr>
          <w:ilvl w:val="0"/>
          <w:numId w:val="2"/>
        </w:numPr>
      </w:pPr>
      <w:r>
        <w:rPr>
          <w:b/>
          <w:bCs/>
        </w:rPr>
        <w:t xml:space="preserve">World-class petrochemical infrastructure and expertise</w:t>
      </w:r>
      <w:r>
        <w:t xml:space="preserve"> (direct applicability to graphene production)</w:t>
      </w:r>
    </w:p>
    <w:p>
      <w:pPr>
        <w:pStyle w:val="ListParagraph"/>
        <w:numPr>
          <w:ilvl w:val="0"/>
          <w:numId w:val="2"/>
        </w:numPr>
      </w:pPr>
      <w:r>
        <w:rPr>
          <w:b/>
          <w:bCs/>
        </w:rPr>
        <w:t xml:space="preserve">Extreme solar intensity</w:t>
      </w:r>
      <w:r>
        <w:t xml:space="preserve"> (optimal testing ground for photovoltaic systems)</w:t>
      </w:r>
    </w:p>
    <w:p>
      <w:pPr>
        <w:pStyle w:val="ListParagraph"/>
        <w:numPr>
          <w:ilvl w:val="0"/>
          <w:numId w:val="2"/>
        </w:numPr>
      </w:pPr>
      <w:r>
        <w:rPr>
          <w:b/>
          <w:bCs/>
        </w:rPr>
        <w:t xml:space="preserve">Visionary leadership with track record of ambitious execution</w:t>
      </w:r>
      <w:r>
        <w:t xml:space="preserve"> (Burj Khalifa, Palm Islands, Dubai Expo)</w:t>
      </w:r>
    </w:p>
    <w:p>
      <w:pPr>
        <w:pStyle w:val="ListParagraph"/>
        <w:numPr>
          <w:ilvl w:val="0"/>
          <w:numId w:val="2"/>
        </w:numPr>
      </w:pPr>
      <w:r>
        <w:rPr>
          <w:b/>
          <w:bCs/>
        </w:rPr>
        <w:t xml:space="preserve">Global connectivity and trade expertise</w:t>
      </w:r>
      <w:r>
        <w:t xml:space="preserve"> (established export infrastructure)</w:t>
      </w:r>
    </w:p>
    <w:p>
      <w:pPr>
        <w:pStyle w:val="ListParagraph"/>
        <w:numPr>
          <w:ilvl w:val="0"/>
          <w:numId w:val="2"/>
        </w:numPr>
      </w:pPr>
      <w:r>
        <w:rPr>
          <w:b/>
          <w:bCs/>
        </w:rPr>
        <w:t xml:space="preserve">Capital availability for strategic long-term investments</w:t>
      </w:r>
      <w:r>
        <w:t xml:space="preserve"> (sovereign wealth resources)</w:t>
      </w:r>
    </w:p>
    <w:p>
      <w:pPr>
        <w:pStyle w:val="ListParagraph"/>
        <w:numPr>
          <w:ilvl w:val="0"/>
          <w:numId w:val="2"/>
        </w:numPr>
      </w:pPr>
      <w:r>
        <w:rPr>
          <w:b/>
          <w:bCs/>
        </w:rPr>
        <w:t xml:space="preserve">Cultural commitment to innovation and excellence</w:t>
      </w:r>
      <w:r>
        <w:t xml:space="preserve"> (Dubai 2040 vision, Mars 2117 project)</w:t>
      </w:r>
    </w:p>
    <w:p>
      <w:pPr>
        <w:pStyle w:val="Heading2"/>
      </w:pPr>
      <w:r>
        <w:t xml:space="preserve">From Oil Capital to Energy Innovation Capital</w:t>
      </w:r>
    </w:p>
    <w:p>
      <w:pPr>
        <w:spacing w:after="120"/>
      </w:pPr>
      <w:r>
        <w:t xml:space="preserve">The 20th century belonged to petroleum. The 21st century will belong to advanced materials, renewable energy, and integrated systems. GSSG positions Dubai at the intersection of all three.</w:t>
      </w:r>
    </w:p>
    <w:p>
      <w:pPr>
        <w:spacing w:after="120"/>
      </w:pPr>
      <w:r>
        <w:t xml:space="preserve">Just as Dubai transformed from a modest trading port to a global financial and logistics hub in one generation, GSSG offers the foundation for transformation from petroleum economy to advanced materials technology superpower in the next generation.</w:t>
      </w:r>
    </w:p>
    <w:p>
      <w:pPr>
        <w:pStyle w:val="Heading2"/>
      </w:pPr>
      <w:r>
        <w:t xml:space="preserve">A Personal Invitation</w:t>
      </w:r>
    </w:p>
    <w:p>
      <w:pPr>
        <w:spacing w:after="120"/>
      </w:pPr>
      <w:r>
        <w:t xml:space="preserve">The ERES Institute for New Age Cybernetics stands ready to partner with Dubai in realizing this vision. We bring 13+ years of comprehensive framework development, extensive technical documentation, and global network connections. What we seek is what only Dubai can provide: the ambition, resources, and leadership to deploy these technologies at civilization scale.</w:t>
      </w:r>
    </w:p>
    <w:p>
      <w:pPr>
        <w:spacing w:after="120"/>
      </w:pPr>
      <w:r>
        <w:t xml:space="preserve">I respectfully request the opportunity to present this proposal in person, accompanied by technical demonstrations and detailed implementation roadmaps. Together, we can architect not merely Dubai's energy transition, but a model for global civilization to follow for the next thousand years.</w:t>
      </w:r>
    </w:p>
    <w:p>
      <w:pPr>
        <w:spacing w:before="240" w:after="120"/>
      </w:pPr>
      <w:r>
        <w:t xml:space="preserve">With deepest respect and anticipation of collaboration,</w:t>
      </w:r>
    </w:p>
    <w:p>
      <w:pPr>
        <w:spacing w:after="60"/>
      </w:pPr>
      <w:r>
        <w:rPr>
          <w:b/>
          <w:bCs/>
        </w:rPr>
        <w:t xml:space="preserve">Joseph A. Sprute</w:t>
      </w:r>
    </w:p>
    <w:p>
      <w:pPr>
        <w:spacing w:after="60"/>
      </w:pPr>
      <w:r>
        <w:t xml:space="preserve">Founder &amp; Director</w:t>
      </w:r>
    </w:p>
    <w:p>
      <w:pPr>
        <w:spacing w:after="60"/>
      </w:pPr>
      <w:r>
        <w:t xml:space="preserve">ERES Institute for New Age Cybernetics</w:t>
      </w:r>
    </w:p>
    <w:p>
      <w:pPr>
        <w:spacing w:after="60"/>
      </w:pPr>
      <w:r>
        <w:t xml:space="preserve">eresmaestro@gmail.com</w:t>
      </w:r>
    </w:p>
    <w:p>
      <w:pPr>
        <w:spacing w:after="60"/>
      </w:pPr>
      <w:r>
        <w:t xml:space="preserve">+1 (479) 481-4717</w:t>
      </w:r>
    </w:p>
    <w:p>
      <w:r>
        <w:br w:type="page"/>
      </w:r>
    </w:p>
    <w:p>
      <w:pPr>
        <w:pStyle w:val="Heading1"/>
      </w:pPr>
      <w:r>
        <w:t xml:space="preserve">Appendix: Additional Resources</w:t>
      </w:r>
    </w:p>
    <w:p>
      <w:pPr>
        <w:pStyle w:val="Heading2"/>
      </w:pPr>
      <w:r>
        <w:t xml:space="preserve">ERES Institute Documentation</w:t>
      </w:r>
    </w:p>
    <w:p>
      <w:pPr>
        <w:spacing w:after="120"/>
      </w:pPr>
      <w:r>
        <w:t xml:space="preserve">The complete ERES framework includes extensive technical specifications, governance protocols, and implementation guides across multiple domains:</w:t>
      </w:r>
    </w:p>
    <w:p>
      <w:pPr>
        <w:pStyle w:val="ListParagraph"/>
        <w:numPr>
          <w:ilvl w:val="0"/>
          <w:numId w:val="2"/>
        </w:numPr>
      </w:pPr>
      <w:r>
        <w:rPr>
          <w:b/>
          <w:bCs/>
        </w:rPr>
        <w:t xml:space="preserve">GitHub Repository:</w:t>
      </w:r>
      <w:r>
        <w:t xml:space="preserve"> </w:t>
      </w:r>
    </w:p>
    <w:p>
      <w:pPr>
        <w:ind w:left="720"/>
      </w:pPr>
      <w:hyperlink w:history="1" r:id="rIdmtlfhbphfti1tpqjw_t09">
        <w:r>
          <w:rPr>
            <w:color w:val="0563C1"/>
            <w:u w:val="single"/>
          </w:rPr>
          <w:t xml:space="preserve">github.com/ERES-Institute-for-New-Age-Cybernetics</w:t>
        </w:r>
      </w:hyperlink>
    </w:p>
    <w:p>
      <w:pPr>
        <w:pStyle w:val="ListParagraph"/>
        <w:numPr>
          <w:ilvl w:val="0"/>
          <w:numId w:val="2"/>
        </w:numPr>
      </w:pPr>
      <w:r>
        <w:rPr>
          <w:b/>
          <w:bCs/>
        </w:rPr>
        <w:t xml:space="preserve">Research Publications:</w:t>
      </w:r>
      <w:r>
        <w:t xml:space="preserve"> 250+ papers on ResearchGate covering bioenergetics, cybernetic governance, and sustainable systems</w:t>
      </w:r>
    </w:p>
    <w:p>
      <w:pPr>
        <w:pStyle w:val="ListParagraph"/>
        <w:numPr>
          <w:ilvl w:val="0"/>
          <w:numId w:val="2"/>
        </w:numPr>
      </w:pPr>
      <w:r>
        <w:rPr>
          <w:b/>
          <w:bCs/>
        </w:rPr>
        <w:t xml:space="preserve">Substack:</w:t>
      </w:r>
      <w:r>
        <w:t xml:space="preserve"> </w:t>
      </w:r>
    </w:p>
    <w:p>
      <w:pPr>
        <w:ind w:left="720"/>
      </w:pPr>
      <w:hyperlink w:history="1" r:id="rIdylfeusfkrioyls3o5o2dz">
        <w:r>
          <w:rPr>
            <w:color w:val="0563C1"/>
            <w:u w:val="single"/>
          </w:rPr>
          <w:t xml:space="preserve">substack.com/@josephasprute</w:t>
        </w:r>
      </w:hyperlink>
    </w:p>
    <w:p>
      <w:pPr>
        <w:pStyle w:val="Heading2"/>
        <w:spacing w:before="240"/>
      </w:pPr>
      <w:r>
        <w:t xml:space="preserve">Key Framework Components Referenced</w:t>
      </w:r>
    </w:p>
    <w:p>
      <w:pPr>
        <w:pStyle w:val="ListParagraph"/>
        <w:numPr>
          <w:ilvl w:val="0"/>
          <w:numId w:val="2"/>
        </w:numPr>
      </w:pPr>
      <w:r>
        <w:rPr>
          <w:b/>
          <w:bCs/>
        </w:rPr>
        <w:t xml:space="preserve">PlayNAC-KERNEL:</w:t>
      </w:r>
      <w:r>
        <w:t xml:space="preserve"> Gamified governance platform for meritocratic resource allocation</w:t>
      </w:r>
    </w:p>
    <w:p>
      <w:pPr>
        <w:pStyle w:val="ListParagraph"/>
        <w:numPr>
          <w:ilvl w:val="0"/>
          <w:numId w:val="2"/>
        </w:numPr>
      </w:pPr>
      <w:r>
        <w:rPr>
          <w:b/>
          <w:bCs/>
        </w:rPr>
        <w:t xml:space="preserve">GERP (Global Earth Resource Planner):</w:t>
      </w:r>
      <w:r>
        <w:t xml:space="preserve"> Planetary-scale resource optimization system</w:t>
      </w:r>
    </w:p>
    <w:p>
      <w:pPr>
        <w:pStyle w:val="ListParagraph"/>
        <w:numPr>
          <w:ilvl w:val="0"/>
          <w:numId w:val="2"/>
        </w:numPr>
      </w:pPr>
      <w:r>
        <w:rPr>
          <w:b/>
          <w:bCs/>
        </w:rPr>
        <w:t xml:space="preserve">SROC (Sustainability Resource Obligation Credits):</w:t>
      </w:r>
      <w:r>
        <w:t xml:space="preserve"> Carbon-negative value exchange system</w:t>
      </w:r>
    </w:p>
    <w:p>
      <w:pPr>
        <w:pStyle w:val="ListParagraph"/>
        <w:numPr>
          <w:ilvl w:val="0"/>
          <w:numId w:val="2"/>
        </w:numPr>
      </w:pPr>
      <w:r>
        <w:rPr>
          <w:b/>
          <w:bCs/>
        </w:rPr>
        <w:t xml:space="preserve">PBJ Tri-Codex:</w:t>
      </w:r>
      <w:r>
        <w:t xml:space="preserve"> Environmental rating system (PERC/BERC/JERC)</w:t>
      </w:r>
    </w:p>
    <w:p>
      <w:pPr>
        <w:pStyle w:val="ListParagraph"/>
        <w:numPr>
          <w:ilvl w:val="0"/>
          <w:numId w:val="2"/>
        </w:numPr>
      </w:pPr>
      <w:r>
        <w:rPr>
          <w:b/>
          <w:bCs/>
        </w:rPr>
        <w:t xml:space="preserve">BERA/ARI/ERI:</w:t>
      </w:r>
      <w:r>
        <w:t xml:space="preserve"> Bio-energetic measurement protocols</w:t>
      </w:r>
    </w:p>
    <w:p>
      <w:pPr>
        <w:pStyle w:val="ListParagraph"/>
        <w:numPr>
          <w:ilvl w:val="0"/>
          <w:numId w:val="2"/>
        </w:numPr>
      </w:pPr>
      <w:r>
        <w:rPr>
          <w:b/>
          <w:bCs/>
        </w:rPr>
        <w:t xml:space="preserve">1000-Year Future Map:</w:t>
      </w:r>
      <w:r>
        <w:t xml:space="preserve"> Millennial-scale civilization planning framework</w:t>
      </w:r>
    </w:p>
    <w:p>
      <w:pPr>
        <w:pStyle w:val="ListParagraph"/>
        <w:numPr>
          <w:ilvl w:val="0"/>
          <w:numId w:val="2"/>
        </w:numPr>
      </w:pPr>
      <w:r>
        <w:rPr>
          <w:b/>
          <w:bCs/>
        </w:rPr>
        <w:t xml:space="preserve">GAIA (Global Actuary Investor Authority):</w:t>
      </w:r>
      <w:r>
        <w:t xml:space="preserve"> Long-term investment and risk modeling system</w:t>
      </w:r>
    </w:p>
    <w:p>
      <w:pPr>
        <w:pStyle w:val="Heading2"/>
        <w:spacing w:before="240"/>
      </w:pPr>
      <w:r>
        <w:t xml:space="preserve">Contact Information</w:t>
      </w:r>
    </w:p>
    <w:p>
      <w:pPr>
        <w:spacing w:after="60"/>
      </w:pPr>
      <w:r>
        <w:rPr>
          <w:b/>
          <w:bCs/>
        </w:rPr>
        <w:t xml:space="preserve">Joseph A. Sprute</w:t>
      </w:r>
    </w:p>
    <w:p>
      <w:pPr>
        <w:spacing w:after="60"/>
      </w:pPr>
      <w:r>
        <w:t xml:space="preserve">33 Westbury Drive</w:t>
      </w:r>
    </w:p>
    <w:p>
      <w:pPr>
        <w:spacing w:after="60"/>
      </w:pPr>
      <w:r>
        <w:t xml:space="preserve">Bella Vista, Arkansas 72714</w:t>
      </w:r>
    </w:p>
    <w:p>
      <w:pPr>
        <w:spacing w:after="60"/>
      </w:pPr>
      <w:r>
        <w:t xml:space="preserve">United States</w:t>
      </w:r>
    </w:p>
    <w:p>
      <w:pPr>
        <w:spacing w:after="60"/>
      </w:pPr>
      <w:r>
        <w:t xml:space="preserve">Email: eresmaestro@gmail.com</w:t>
      </w:r>
    </w:p>
    <w:p>
      <w:pPr>
        <w:spacing w:after="60"/>
      </w:pPr>
      <w:r>
        <w:t xml:space="preserve">Phone: +1 (479) 481-4717</w:t>
      </w:r>
    </w:p>
    <w:p>
      <w:pPr>
        <w:spacing w:after="240"/>
      </w:pPr>
      <w:r>
        <w:t xml:space="preserve">Available for immediate consultation and presentation to Dubai leadership.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8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mtlfhbphfti1tpqjw_t09" Type="http://schemas.openxmlformats.org/officeDocument/2006/relationships/hyperlink" Target="https://github.com/ERES-Institute-for-New-Age-Cybernetics" TargetMode="External"/><Relationship Id="rIdylfeusfkrioyls3o5o2dz" Type="http://schemas.openxmlformats.org/officeDocument/2006/relationships/hyperlink" Target="https://substack.com/@josephasprute"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2026-01-03T03:26:52.872Z</dcterms:created>
  <dcterms:modified xsi:type="dcterms:W3CDTF">2026-01-03T03:26:52.873Z</dcterms:modified>
</cp:coreProperties>
</file>

<file path=docProps/custom.xml><?xml version="1.0" encoding="utf-8"?>
<Properties xmlns="http://schemas.openxmlformats.org/officeDocument/2006/custom-properties" xmlns:vt="http://schemas.openxmlformats.org/officeDocument/2006/docPropsVTypes"/>
</file>