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FFE8C" w14:textId="77777777" w:rsidR="005E206F" w:rsidRDefault="005E206F"/>
    <w:p w14:paraId="32B5946B" w14:textId="321DF7AE" w:rsidR="00C61849" w:rsidRDefault="005E20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64266A" wp14:editId="3E13D02D">
                <wp:simplePos x="0" y="0"/>
                <wp:positionH relativeFrom="column">
                  <wp:posOffset>2292927</wp:posOffset>
                </wp:positionH>
                <wp:positionV relativeFrom="paragraph">
                  <wp:posOffset>0</wp:posOffset>
                </wp:positionV>
                <wp:extent cx="3691466" cy="2874818"/>
                <wp:effectExtent l="0" t="0" r="0" b="1905"/>
                <wp:wrapNone/>
                <wp:docPr id="714353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466" cy="28748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90542" w14:textId="00CE8881" w:rsidR="005E206F" w:rsidRDefault="005E206F">
                            <w:r>
                              <w:t>There are seven principal components to consider for a double stage-rocket:</w:t>
                            </w:r>
                          </w:p>
                          <w:p w14:paraId="45C94E5B" w14:textId="2C29D375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Lift on nose, including forebody,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</m:oMath>
                          </w:p>
                          <w:p w14:paraId="0E391EB7" w14:textId="4E9DA0D3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wing in presence of body,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W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6C0BA5B9" w14:textId="52E0F8A5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body due to wing,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W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00B880D3" w14:textId="51A0024E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tail in presence of body,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5AC5FB8E" w14:textId="3C9AA900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body due to tail,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7E20CEE2" w14:textId="14C598FB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tail due to wing-tip vortices,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V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52D679B3" w14:textId="3B124252" w:rsidR="005E206F" w:rsidRPr="005E206F" w:rsidRDefault="005E206F" w:rsidP="005E206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Lift on wing afterbody due to wing vortices,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B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V</m:t>
                                      </m:r>
                                    </m:e>
                                  </m:d>
                                </m:sub>
                              </m:sSub>
                            </m:oMath>
                          </w:p>
                          <w:p w14:paraId="4368D336" w14:textId="39052562" w:rsidR="005E206F" w:rsidRDefault="005E206F" w:rsidP="005E206F">
                            <w:r>
                              <w:t>These methods are based on the slender-body theorem, which assumes that flow is mostly in the longitudinal direction.</w:t>
                            </w:r>
                          </w:p>
                          <w:p w14:paraId="2F2DD08B" w14:textId="57E90370" w:rsidR="00B74EA7" w:rsidRDefault="00B74EA7" w:rsidP="005E206F">
                            <w:r>
                              <w:t>The wing is defined as two-half wings joined together.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426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55pt;margin-top:0;width:290.65pt;height:226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" filled="f" stroked="f" strokeweight=".5pt">
                <v:textbox>
                  <w:txbxContent>
                    <w:p w14:paraId="1C690542" w14:textId="00CE8881" w:rsidR="005E206F" w:rsidRDefault="005E206F">
                      <w:r>
                        <w:t>There are seven principal components to consider for a double stage-rocket:</w:t>
                      </w:r>
                    </w:p>
                    <w:p w14:paraId="45C94E5B" w14:textId="2C29D375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Lift on nose, including forebody,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oMath>
                    </w:p>
                    <w:p w14:paraId="0E391EB7" w14:textId="4E9DA0D3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wing in presence of body,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6C0BA5B9" w14:textId="52E0F8A5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body due to wing,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00B880D3" w14:textId="51A0024E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tail in presence of body,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B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5AC5FB8E" w14:textId="3C9AA900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body due to tail,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7E20CEE2" w14:textId="14C598FB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tail due to wing-tip vortices,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52D679B3" w14:textId="3B124252" w:rsidR="005E206F" w:rsidRPr="005E206F" w:rsidRDefault="005E206F" w:rsidP="005E206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rPr>
                          <w:rFonts w:eastAsiaTheme="minorEastAsia"/>
                        </w:rPr>
                        <w:t xml:space="preserve">Lift on wing afterbody due to wing vortices,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</m:d>
                          </m:sub>
                        </m:sSub>
                      </m:oMath>
                    </w:p>
                    <w:p w14:paraId="4368D336" w14:textId="39052562" w:rsidR="005E206F" w:rsidRDefault="005E206F" w:rsidP="005E206F">
                      <w:r>
                        <w:t>These methods are based on the slender-body theorem, which assumes that flow is mostly in the longitudinal direction.</w:t>
                      </w:r>
                    </w:p>
                    <w:p w14:paraId="2F2DD08B" w14:textId="57E90370" w:rsidR="00B74EA7" w:rsidRDefault="00B74EA7" w:rsidP="005E206F">
                      <w:r>
                        <w:t>The wing is defined as two-half wings joined together.</w:t>
                      </w:r>
                    </w:p>
                  </w:txbxContent>
                </v:textbox>
              </v:shape>
            </w:pict>
          </mc:Fallback>
        </mc:AlternateContent>
      </w:r>
      <w:r w:rsidRPr="005E206F">
        <w:drawing>
          <wp:anchor distT="0" distB="0" distL="114300" distR="114300" simplePos="0" relativeHeight="251658240" behindDoc="0" locked="0" layoutInCell="1" allowOverlap="1" wp14:anchorId="5446F8C7" wp14:editId="77798B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86591" cy="2912533"/>
            <wp:effectExtent l="0" t="0" r="9525" b="2540"/>
            <wp:wrapTopAndBottom/>
            <wp:docPr id="1916653813" name="Picture 1" descr="A diagram of a roc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53813" name="Picture 1" descr="A diagram of a rocke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591" cy="2912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25005" w14:textId="19B6C77B" w:rsidR="005E206F" w:rsidRDefault="005C0E50">
      <w:r>
        <w:t>These processes are limited to low angles of attack, negative sweep (CCW) at the leading and positive</w:t>
      </w:r>
      <w:r w:rsidR="002404DB">
        <w:t xml:space="preserve"> sweep</w:t>
      </w:r>
      <w:r>
        <w:t xml:space="preserve"> (CW) at the trailing edge</w:t>
      </w:r>
      <w:r w:rsidR="002404DB">
        <w:t>, and uniform body diameter.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3600"/>
      </w:tblGrid>
      <w:tr w:rsidR="005C0E50" w14:paraId="43DC2E7B" w14:textId="77777777" w:rsidTr="005C0E50">
        <w:tc>
          <w:tcPr>
            <w:tcW w:w="5760" w:type="dxa"/>
          </w:tcPr>
          <w:p w14:paraId="16165620" w14:textId="77777777" w:rsidR="005C0E50" w:rsidRDefault="005C0E50" w:rsidP="005C0E50">
            <w:r>
              <w:t>The seven lift components can be determined with the following equations (Eq. 50-56):</w:t>
            </w:r>
          </w:p>
          <w:p w14:paraId="50BA762A" w14:textId="77777777" w:rsidR="002404DB" w:rsidRDefault="002404DB" w:rsidP="005C0E50"/>
          <w:p w14:paraId="71F2D201" w14:textId="77777777" w:rsidR="005C0E50" w:rsidRPr="005C0E50" w:rsidRDefault="005C0E50" w:rsidP="005C0E50">
            <w:pPr>
              <w:ind w:left="36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oMath>
            </m:oMathPara>
          </w:p>
          <w:p w14:paraId="0B6F5C0A" w14:textId="77777777" w:rsidR="005C0E50" w:rsidRPr="005C0E50" w:rsidRDefault="005C0E50" w:rsidP="005C0E50">
            <w:pPr>
              <w:ind w:left="36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d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</m:oMath>
            </m:oMathPara>
          </w:p>
          <w:p w14:paraId="4A2A9FDC" w14:textId="77777777" w:rsidR="005C0E50" w:rsidRPr="005C0E50" w:rsidRDefault="005C0E50" w:rsidP="005C0E50">
            <w:pPr>
              <w:ind w:left="36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</m:d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</m:oMath>
            </m:oMathPara>
          </w:p>
          <w:p w14:paraId="6043858C" w14:textId="77777777" w:rsidR="005C0E50" w:rsidRPr="005C0E50" w:rsidRDefault="005C0E50" w:rsidP="005C0E50">
            <w:pPr>
              <w:ind w:left="36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d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196748C4" w14:textId="77777777" w:rsidR="005C0E50" w:rsidRPr="005C0E50" w:rsidRDefault="005C0E50" w:rsidP="005C0E50">
            <w:pPr>
              <w:ind w:left="360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α+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</m:d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  <w:p w14:paraId="2A5F592D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α</m:t>
                                    </m:r>
                                  </m:sub>
                                </m:sSub>
                              </m:sub>
                            </m:sSub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d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B</m:t>
                                </m:r>
                              </m:e>
                            </m:d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  <w:p w14:paraId="26ECE240" w14:textId="77777777" w:rsidR="005C0E50" w:rsidRPr="00AD2252" w:rsidRDefault="005C0E50" w:rsidP="005C0E50">
            <w:pPr>
              <w:ind w:left="36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4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Γ</m:t>
                        </m: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∞</m:t>
                        </m:r>
                      </m:sub>
                    </m:sSub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W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W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e>
                        </m:rad>
                      </m:den>
                    </m:f>
                  </m:e>
                </m:d>
              </m:oMath>
            </m:oMathPara>
          </w:p>
          <w:p w14:paraId="42373654" w14:textId="77777777" w:rsidR="005C0E50" w:rsidRDefault="005C0E50" w:rsidP="005C0E50"/>
        </w:tc>
        <w:tc>
          <w:tcPr>
            <w:tcW w:w="3600" w:type="dxa"/>
          </w:tcPr>
          <w:p w14:paraId="448A75DE" w14:textId="77777777" w:rsidR="005C0E50" w:rsidRDefault="005C0E50" w:rsidP="005C0E50">
            <w:r>
              <w:t>The six centers of pressure can be determined with the following equations (Eq. 75-81):</w:t>
            </w:r>
          </w:p>
          <w:p w14:paraId="5CA337CA" w14:textId="77777777" w:rsidR="002404DB" w:rsidRDefault="002404DB" w:rsidP="005C0E50"/>
          <w:p w14:paraId="0ED88D82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π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24B96F1F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</m:oMath>
            </m:oMathPara>
          </w:p>
          <w:p w14:paraId="78E8C942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W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W</m:t>
                    </m:r>
                  </m:sub>
                </m:sSub>
              </m:oMath>
            </m:oMathPara>
          </w:p>
          <w:p w14:paraId="157DD061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T(B)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  <w:p w14:paraId="16AFE631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B(T)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</m:acc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B(T)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  <w:p w14:paraId="751EAE2E" w14:textId="77777777" w:rsidR="005C0E50" w:rsidRPr="005C0E50" w:rsidRDefault="005C0E50" w:rsidP="005C0E50">
            <w:pPr>
              <w:ind w:left="360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T(V)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sub>
                </m:sSub>
              </m:oMath>
            </m:oMathPara>
          </w:p>
          <w:p w14:paraId="5B2C0C2E" w14:textId="77777777" w:rsidR="005C0E50" w:rsidRDefault="005C0E50" w:rsidP="005C0E50"/>
        </w:tc>
      </w:tr>
    </w:tbl>
    <w:p w14:paraId="67B38DA9" w14:textId="77777777" w:rsidR="005C0E50" w:rsidRDefault="005C0E50"/>
    <w:p w14:paraId="16D40C1C" w14:textId="77777777" w:rsidR="009E0044" w:rsidRDefault="009E0044" w:rsidP="009E0044">
      <w:pPr>
        <w:rPr>
          <w:rFonts w:eastAsiaTheme="minorEastAsia"/>
        </w:rPr>
      </w:pPr>
      <w:r>
        <w:rPr>
          <w:rFonts w:eastAsiaTheme="minorEastAsia"/>
        </w:rPr>
        <w:t>These can be used to determine a combination center of pressure in the following way (Eq. 82):</w:t>
      </w:r>
    </w:p>
    <w:p w14:paraId="12821F91" w14:textId="3E8CC12C" w:rsidR="009E0044" w:rsidRPr="005C2664" w:rsidRDefault="005C2664" w:rsidP="009E004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0C15EAF" w14:textId="19438576" w:rsidR="005C2664" w:rsidRPr="003230E1" w:rsidRDefault="003230E1" w:rsidP="003230E1">
      <w:pPr>
        <w:rPr>
          <w:rFonts w:eastAsiaTheme="minorEastAsia"/>
        </w:rPr>
      </w:pPr>
      <w:r>
        <w:rPr>
          <w:rFonts w:eastAsiaTheme="minorEastAsia"/>
        </w:rPr>
        <w:t>These methods predict lift-curve-slope within 10% for a variety of configurations and predict total center of pressure within 2% of the body length (</w:t>
      </w:r>
      <w:r w:rsidR="00A50869">
        <w:rPr>
          <w:rFonts w:eastAsiaTheme="minorEastAsia"/>
        </w:rPr>
        <w:t xml:space="preserve">5.7 cm for </w:t>
      </w:r>
      <w:r w:rsidR="00722A1D">
        <w:rPr>
          <w:rFonts w:eastAsiaTheme="minorEastAsia"/>
        </w:rPr>
        <w:t>half-stack</w:t>
      </w:r>
      <w:r w:rsidR="00A50869">
        <w:rPr>
          <w:rFonts w:eastAsiaTheme="minorEastAsia"/>
        </w:rPr>
        <w:t>, 8.9 cm for full-stack</w:t>
      </w:r>
      <w:r>
        <w:rPr>
          <w:rFonts w:eastAsiaTheme="minorEastAsia"/>
        </w:rPr>
        <w:t>)</w:t>
      </w:r>
    </w:p>
    <w:sectPr w:rsidR="005C2664" w:rsidRPr="00323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D7CE8"/>
    <w:multiLevelType w:val="hybridMultilevel"/>
    <w:tmpl w:val="A662884C"/>
    <w:lvl w:ilvl="0" w:tplc="8092D6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44861"/>
    <w:multiLevelType w:val="hybridMultilevel"/>
    <w:tmpl w:val="2752EACE"/>
    <w:lvl w:ilvl="0" w:tplc="CF90614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2801CB"/>
    <w:multiLevelType w:val="hybridMultilevel"/>
    <w:tmpl w:val="3FC25206"/>
    <w:lvl w:ilvl="0" w:tplc="845086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264894">
    <w:abstractNumId w:val="0"/>
  </w:num>
  <w:num w:numId="2" w16cid:durableId="1852642816">
    <w:abstractNumId w:val="2"/>
  </w:num>
  <w:num w:numId="3" w16cid:durableId="2112235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6F"/>
    <w:rsid w:val="002404DB"/>
    <w:rsid w:val="002E6459"/>
    <w:rsid w:val="003230E1"/>
    <w:rsid w:val="003C4427"/>
    <w:rsid w:val="00462E31"/>
    <w:rsid w:val="00492A72"/>
    <w:rsid w:val="005C0E50"/>
    <w:rsid w:val="005C2664"/>
    <w:rsid w:val="005E206F"/>
    <w:rsid w:val="005F3D23"/>
    <w:rsid w:val="00614730"/>
    <w:rsid w:val="00722A1D"/>
    <w:rsid w:val="007E5C78"/>
    <w:rsid w:val="00801347"/>
    <w:rsid w:val="008F2505"/>
    <w:rsid w:val="009211E1"/>
    <w:rsid w:val="00940504"/>
    <w:rsid w:val="009E0044"/>
    <w:rsid w:val="00A50869"/>
    <w:rsid w:val="00A62A8F"/>
    <w:rsid w:val="00AD2252"/>
    <w:rsid w:val="00AF363D"/>
    <w:rsid w:val="00B74EA7"/>
    <w:rsid w:val="00B8780F"/>
    <w:rsid w:val="00C61849"/>
    <w:rsid w:val="00F9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DA63"/>
  <w15:chartTrackingRefBased/>
  <w15:docId w15:val="{3C1E1A7D-DD73-4B49-99E4-2B70E748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6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E206F"/>
    <w:rPr>
      <w:color w:val="666666"/>
    </w:rPr>
  </w:style>
  <w:style w:type="table" w:styleId="TableGrid">
    <w:name w:val="Table Grid"/>
    <w:basedOn w:val="TableNormal"/>
    <w:uiPriority w:val="39"/>
    <w:rsid w:val="005C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Holt, Graham</dc:creator>
  <cp:keywords/>
  <dc:description/>
  <cp:lastModifiedBy>Holt, Graham</cp:lastModifiedBy>
  <cp:revision>12</cp:revision>
  <dcterms:created xsi:type="dcterms:W3CDTF">2024-09-22T15:38:00Z</dcterms:created>
  <dcterms:modified xsi:type="dcterms:W3CDTF">2024-09-22T16:40:00Z</dcterms:modified>
</cp:coreProperties>
</file>