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2A09" w:rsidRDefault="00F0761E">
      <w:pPr>
        <w:spacing w:after="40" w:line="320" w:lineRule="auto"/>
        <w:jc w:val="center"/>
      </w:pPr>
      <w:r>
        <w:rPr>
          <w:b/>
          <w:bCs/>
          <w:sz w:val="22"/>
          <w:szCs w:val="22"/>
        </w:rPr>
        <w:t>МИНИСТЕРСТВО НАУКИ И ВЫСШЕГО ОБРАЗОВАНИЯ РОССИЙСКОЙ ФЕДЕРАЦИИ</w:t>
      </w:r>
    </w:p>
    <w:p w:rsidR="00FC2A09" w:rsidRDefault="00F0761E">
      <w:pPr>
        <w:spacing w:after="40" w:line="320" w:lineRule="auto"/>
        <w:jc w:val="center"/>
      </w:pPr>
      <w:r>
        <w:rPr>
          <w:sz w:val="22"/>
          <w:szCs w:val="22"/>
        </w:rPr>
        <w:t>Федеральное государственное автономное образовательное учреждение</w:t>
      </w:r>
    </w:p>
    <w:p w:rsidR="00FC2A09" w:rsidRDefault="00F0761E">
      <w:pPr>
        <w:spacing w:after="40" w:line="320" w:lineRule="auto"/>
        <w:jc w:val="center"/>
      </w:pPr>
      <w:r>
        <w:rPr>
          <w:sz w:val="22"/>
          <w:szCs w:val="22"/>
        </w:rPr>
        <w:t>высшего образования</w:t>
      </w:r>
    </w:p>
    <w:p w:rsidR="00FC2A09" w:rsidRDefault="00F0761E">
      <w:pPr>
        <w:spacing w:after="40" w:line="320" w:lineRule="auto"/>
        <w:jc w:val="center"/>
      </w:pPr>
      <w:r>
        <w:rPr>
          <w:sz w:val="22"/>
          <w:szCs w:val="22"/>
        </w:rPr>
        <w:t>«Южно-Уральский государственный университет</w:t>
      </w:r>
    </w:p>
    <w:p w:rsidR="00FC2A09" w:rsidRDefault="00F0761E">
      <w:pPr>
        <w:spacing w:after="40" w:line="320" w:lineRule="auto"/>
        <w:jc w:val="center"/>
      </w:pPr>
      <w:r>
        <w:rPr>
          <w:sz w:val="22"/>
          <w:szCs w:val="22"/>
        </w:rPr>
        <w:t>(национальный исследовательский университет)»</w:t>
      </w:r>
    </w:p>
    <w:p w:rsidR="00FC2A09" w:rsidRDefault="00F0761E">
      <w:pPr>
        <w:spacing w:after="40" w:line="320" w:lineRule="auto"/>
        <w:jc w:val="center"/>
      </w:pPr>
      <w:r>
        <w:rPr>
          <w:sz w:val="22"/>
          <w:szCs w:val="22"/>
        </w:rPr>
        <w:t>Центр «ВиртУм»</w:t>
      </w:r>
    </w:p>
    <w:p w:rsidR="00FC2A09" w:rsidRDefault="00FC2A09"/>
    <w:p w:rsidR="00FC2A09" w:rsidRDefault="00F0761E">
      <w:pPr>
        <w:spacing w:after="40" w:line="320" w:lineRule="auto"/>
        <w:jc w:val="right"/>
      </w:pPr>
      <w:r>
        <w:rPr>
          <w:b/>
          <w:bCs/>
          <w:sz w:val="24"/>
          <w:szCs w:val="24"/>
        </w:rPr>
        <w:t>УТВЕРЖДАЮ</w:t>
      </w:r>
    </w:p>
    <w:p w:rsidR="00FC2A09" w:rsidRDefault="00F0761E">
      <w:pPr>
        <w:spacing w:after="40" w:line="320" w:lineRule="auto"/>
        <w:jc w:val="right"/>
      </w:pPr>
      <w:r>
        <w:rPr>
          <w:sz w:val="24"/>
          <w:szCs w:val="24"/>
        </w:rPr>
        <w:t>Директор ИЕТН ЮУрГУ</w:t>
      </w:r>
    </w:p>
    <w:p w:rsidR="00FC2A09" w:rsidRDefault="00F0761E">
      <w:pPr>
        <w:spacing w:after="40" w:line="320" w:lineRule="auto"/>
        <w:jc w:val="right"/>
      </w:pPr>
      <w:r>
        <w:rPr>
          <w:sz w:val="24"/>
          <w:szCs w:val="24"/>
        </w:rPr>
        <w:t>______________ А.А. Замышляева</w:t>
      </w:r>
    </w:p>
    <w:p w:rsidR="00FC2A09" w:rsidRDefault="00F0761E">
      <w:pPr>
        <w:spacing w:after="40" w:line="320" w:lineRule="auto"/>
        <w:jc w:val="right"/>
      </w:pPr>
      <w:r>
        <w:rPr>
          <w:sz w:val="24"/>
          <w:szCs w:val="24"/>
        </w:rPr>
        <w:t>«___» _____________ 2026 г.</w:t>
      </w:r>
    </w:p>
    <w:p w:rsidR="00FC2A09" w:rsidRDefault="00FC2A09"/>
    <w:p w:rsidR="00FC2A09" w:rsidRDefault="00FC2A09"/>
    <w:p w:rsidR="00FC2A09" w:rsidRDefault="00F0761E">
      <w:pPr>
        <w:spacing w:after="40" w:line="320" w:lineRule="auto"/>
        <w:jc w:val="center"/>
      </w:pPr>
      <w:r>
        <w:rPr>
          <w:b/>
          <w:bCs/>
        </w:rPr>
        <w:t>КУРСОВОЙ ПРОЕКТ</w:t>
      </w:r>
    </w:p>
    <w:p w:rsidR="00FC2A09" w:rsidRDefault="00F0761E">
      <w:pPr>
        <w:spacing w:after="40" w:line="320" w:lineRule="auto"/>
        <w:jc w:val="center"/>
      </w:pPr>
      <w:r>
        <w:rPr>
          <w:sz w:val="26"/>
          <w:szCs w:val="26"/>
        </w:rPr>
        <w:t>по дисциплине</w:t>
      </w:r>
    </w:p>
    <w:p w:rsidR="00FC2A09" w:rsidRDefault="00F0761E">
      <w:pPr>
        <w:spacing w:after="40" w:line="320" w:lineRule="auto"/>
        <w:jc w:val="center"/>
      </w:pPr>
      <w:r>
        <w:rPr>
          <w:b/>
          <w:bCs/>
          <w:sz w:val="26"/>
          <w:szCs w:val="26"/>
        </w:rPr>
        <w:t>«Введение в проектную деятельность»</w:t>
      </w:r>
    </w:p>
    <w:p w:rsidR="00FC2A09" w:rsidRDefault="00FC2A09"/>
    <w:p w:rsidR="00FC2A09" w:rsidRDefault="00F0761E">
      <w:pPr>
        <w:spacing w:after="40" w:line="320" w:lineRule="auto"/>
        <w:jc w:val="center"/>
      </w:pPr>
      <w:r>
        <w:rPr>
          <w:sz w:val="24"/>
          <w:szCs w:val="24"/>
        </w:rPr>
        <w:t>ЮУрГУ – 09.03.03.2026.ЕТ-103.КП</w:t>
      </w:r>
    </w:p>
    <w:p w:rsidR="00FC2A09" w:rsidRDefault="00FC2A09"/>
    <w:p w:rsidR="00FC2A09" w:rsidRDefault="00FC2A09"/>
    <w:p w:rsidR="00FC2A09" w:rsidRDefault="00FC2A09"/>
    <w:p w:rsidR="00FC2A09" w:rsidRDefault="00F0761E">
      <w:pPr>
        <w:spacing w:after="40" w:line="320" w:lineRule="auto"/>
        <w:jc w:val="right"/>
      </w:pPr>
      <w:r>
        <w:rPr>
          <w:sz w:val="24"/>
          <w:szCs w:val="24"/>
        </w:rPr>
        <w:t>Научный руководитель,</w:t>
      </w:r>
    </w:p>
    <w:p w:rsidR="00FC2A09" w:rsidRDefault="00F0761E">
      <w:pPr>
        <w:spacing w:after="40" w:line="320" w:lineRule="auto"/>
        <w:jc w:val="right"/>
      </w:pPr>
      <w:r>
        <w:rPr>
          <w:sz w:val="24"/>
          <w:szCs w:val="24"/>
        </w:rPr>
        <w:t>к.п.н., доцент Центра «ВиртУм»</w:t>
      </w:r>
    </w:p>
    <w:p w:rsidR="00FC2A09" w:rsidRDefault="00F0761E">
      <w:pPr>
        <w:spacing w:after="40" w:line="320" w:lineRule="auto"/>
        <w:jc w:val="right"/>
      </w:pPr>
      <w:r>
        <w:rPr>
          <w:sz w:val="24"/>
          <w:szCs w:val="24"/>
        </w:rPr>
        <w:t>_____________ Н.Б. Паршукова</w:t>
      </w:r>
    </w:p>
    <w:p w:rsidR="00FC2A09" w:rsidRDefault="00F0761E">
      <w:pPr>
        <w:spacing w:after="40" w:line="320" w:lineRule="auto"/>
        <w:jc w:val="right"/>
      </w:pPr>
      <w:r>
        <w:rPr>
          <w:sz w:val="24"/>
          <w:szCs w:val="24"/>
        </w:rPr>
        <w:t>«___» ____________ 2026 г.</w:t>
      </w:r>
    </w:p>
    <w:p w:rsidR="00FC2A09" w:rsidRDefault="00FC2A09"/>
    <w:p w:rsidR="00FC2A09" w:rsidRDefault="00F0761E">
      <w:pPr>
        <w:spacing w:after="40" w:line="320" w:lineRule="auto"/>
        <w:jc w:val="right"/>
      </w:pPr>
      <w:r>
        <w:rPr>
          <w:sz w:val="24"/>
          <w:szCs w:val="24"/>
        </w:rPr>
        <w:t>Автор проекта,</w:t>
      </w:r>
    </w:p>
    <w:p w:rsidR="00FC2A09" w:rsidRDefault="00F0761E">
      <w:pPr>
        <w:spacing w:after="40" w:line="320" w:lineRule="auto"/>
        <w:jc w:val="right"/>
      </w:pPr>
      <w:r>
        <w:rPr>
          <w:sz w:val="24"/>
          <w:szCs w:val="24"/>
        </w:rPr>
        <w:t>студент группы ЕТ-103</w:t>
      </w:r>
    </w:p>
    <w:p w:rsidR="00FC2A09" w:rsidRDefault="00F0761E">
      <w:pPr>
        <w:spacing w:after="40" w:line="320" w:lineRule="auto"/>
        <w:jc w:val="right"/>
      </w:pPr>
      <w:r>
        <w:rPr>
          <w:sz w:val="24"/>
          <w:szCs w:val="24"/>
        </w:rPr>
        <w:t>_____________ К.А. Уряшев</w:t>
      </w:r>
    </w:p>
    <w:p w:rsidR="00FC2A09" w:rsidRDefault="00F0761E">
      <w:pPr>
        <w:spacing w:after="40" w:line="320" w:lineRule="auto"/>
        <w:jc w:val="right"/>
      </w:pPr>
      <w:r>
        <w:rPr>
          <w:sz w:val="24"/>
          <w:szCs w:val="24"/>
        </w:rPr>
        <w:t>«___» ____________ 2026 г.</w:t>
      </w:r>
    </w:p>
    <w:p w:rsidR="00FC2A09" w:rsidRDefault="00FC2A09"/>
    <w:p w:rsidR="00FC2A09" w:rsidRDefault="00FC2A09"/>
    <w:p w:rsidR="00FC2A09" w:rsidRDefault="00F0761E">
      <w:pPr>
        <w:spacing w:after="40" w:line="320" w:lineRule="auto"/>
      </w:pPr>
      <w:r>
        <w:rPr>
          <w:sz w:val="24"/>
          <w:szCs w:val="24"/>
        </w:rPr>
        <w:t>Работа защищена с оценкой «___________»</w:t>
      </w:r>
    </w:p>
    <w:p w:rsidR="00FC2A09" w:rsidRDefault="00F0761E">
      <w:pPr>
        <w:spacing w:after="40" w:line="320" w:lineRule="auto"/>
      </w:pPr>
      <w:r>
        <w:rPr>
          <w:sz w:val="24"/>
          <w:szCs w:val="24"/>
        </w:rPr>
        <w:t>«___» _____________ 2026 г.</w:t>
      </w:r>
    </w:p>
    <w:p w:rsidR="00FC2A09" w:rsidRDefault="00FC2A09"/>
    <w:p w:rsidR="00FC2A09" w:rsidRDefault="00FC2A09"/>
    <w:p w:rsidR="00FC2A09" w:rsidRDefault="00FC2A09"/>
    <w:p w:rsidR="00FC2A09" w:rsidRDefault="00F0761E">
      <w:pPr>
        <w:spacing w:after="40" w:line="320" w:lineRule="auto"/>
        <w:jc w:val="center"/>
      </w:pPr>
      <w:r>
        <w:rPr>
          <w:sz w:val="24"/>
          <w:szCs w:val="24"/>
        </w:rPr>
        <w:t>Челябинск 2026</w:t>
      </w:r>
    </w:p>
    <w:p w:rsidR="00FC2A09" w:rsidRDefault="00FC2A09">
      <w:pPr>
        <w:sectPr w:rsidR="00FC2A09">
          <w:pgSz w:w="11906" w:h="16838"/>
          <w:pgMar w:top="1134" w:right="992" w:bottom="1134" w:left="1701" w:header="708" w:footer="708" w:gutter="0"/>
          <w:cols w:space="720"/>
          <w:docGrid w:linePitch="360"/>
        </w:sectPr>
      </w:pPr>
    </w:p>
    <w:p w:rsidR="00FC2A09" w:rsidRDefault="00F0761E">
      <w:pPr>
        <w:spacing w:after="60" w:line="360" w:lineRule="auto"/>
        <w:jc w:val="center"/>
      </w:pPr>
      <w:r>
        <w:rPr>
          <w:b/>
          <w:bCs/>
        </w:rPr>
        <w:lastRenderedPageBreak/>
        <w:t>ЗАДАНИЕ</w:t>
      </w:r>
    </w:p>
    <w:p w:rsidR="00FC2A09" w:rsidRDefault="00F0761E">
      <w:pPr>
        <w:spacing w:after="60" w:line="360" w:lineRule="auto"/>
        <w:jc w:val="center"/>
      </w:pPr>
      <w:r>
        <w:rPr>
          <w:sz w:val="26"/>
          <w:szCs w:val="26"/>
        </w:rPr>
        <w:t>на выполнение курсового проекта</w:t>
      </w:r>
    </w:p>
    <w:p w:rsidR="00FC2A09" w:rsidRDefault="00F0761E">
      <w:pPr>
        <w:spacing w:after="60" w:line="360" w:lineRule="auto"/>
        <w:jc w:val="center"/>
      </w:pPr>
      <w:r>
        <w:rPr>
          <w:sz w:val="26"/>
          <w:szCs w:val="26"/>
        </w:rPr>
        <w:t>по дисциплине «Введение в проектную деятельность»</w:t>
      </w:r>
    </w:p>
    <w:p w:rsidR="00FC2A09" w:rsidRDefault="00FC2A09"/>
    <w:p w:rsidR="00FC2A09" w:rsidRDefault="00F0761E">
      <w:pPr>
        <w:spacing w:after="120" w:line="360" w:lineRule="auto"/>
        <w:ind w:firstLine="709"/>
        <w:jc w:val="both"/>
      </w:pPr>
      <w:r>
        <w:t>студенту группы ЕТ-103 Уряшеву Кириллу Александровичу, обучающемуся по направлению 09.03.03 «Прикладная информатика»</w:t>
      </w:r>
    </w:p>
    <w:p w:rsidR="00FC2A09" w:rsidRDefault="00FC2A09"/>
    <w:p w:rsidR="00FC2A09" w:rsidRDefault="00F0761E">
      <w:pPr>
        <w:spacing w:after="120" w:line="360" w:lineRule="auto"/>
        <w:ind w:firstLine="709"/>
        <w:jc w:val="both"/>
      </w:pPr>
      <w:r>
        <w:t>Тема проекта: Поиск и первичный анализ наборов данных по различным областям применения</w:t>
      </w:r>
    </w:p>
    <w:p w:rsidR="00FC2A09" w:rsidRDefault="00F0761E">
      <w:pPr>
        <w:spacing w:after="120" w:line="360" w:lineRule="auto"/>
        <w:ind w:firstLine="709"/>
        <w:jc w:val="both"/>
      </w:pPr>
      <w:r>
        <w:t>Срок сдачи студентом законченной работы: 31.05.2026 г.</w:t>
      </w:r>
    </w:p>
    <w:p w:rsidR="00FC2A09" w:rsidRDefault="00FC2A09"/>
    <w:p w:rsidR="00FC2A09" w:rsidRDefault="00F0761E">
      <w:pPr>
        <w:spacing w:after="120" w:line="360" w:lineRule="auto"/>
        <w:jc w:val="both"/>
      </w:pPr>
      <w:r>
        <w:rPr>
          <w:b/>
          <w:bCs/>
        </w:rPr>
        <w:t>Исходные данные к работе:</w:t>
      </w:r>
    </w:p>
    <w:p w:rsidR="00FC2A09" w:rsidRDefault="00F0761E">
      <w:pPr>
        <w:spacing w:after="120" w:line="360" w:lineRule="auto"/>
        <w:ind w:firstLine="709"/>
        <w:jc w:val="both"/>
      </w:pPr>
      <w:r>
        <w:t>– Источник набора табличных данных: World Happiness Report 2015–2021 (Kaggle, mathurinache).</w:t>
      </w:r>
    </w:p>
    <w:p w:rsidR="00FC2A09" w:rsidRPr="008921EC" w:rsidRDefault="00F0761E">
      <w:pPr>
        <w:spacing w:after="120" w:line="360" w:lineRule="auto"/>
        <w:ind w:firstLine="709"/>
        <w:jc w:val="both"/>
        <w:rPr>
          <w:lang w:val="en-US"/>
        </w:rPr>
      </w:pPr>
      <w:r>
        <w:rPr>
          <w:lang w:val="en-US"/>
        </w:rPr>
        <w:t xml:space="preserve">– </w:t>
      </w:r>
      <w:r>
        <w:t>Источник</w:t>
      </w:r>
      <w:r>
        <w:rPr>
          <w:lang w:val="en-US"/>
        </w:rPr>
        <w:t xml:space="preserve"> </w:t>
      </w:r>
      <w:r>
        <w:t>набора</w:t>
      </w:r>
      <w:r>
        <w:rPr>
          <w:lang w:val="en-US"/>
        </w:rPr>
        <w:t xml:space="preserve"> </w:t>
      </w:r>
      <w:r>
        <w:t>данных</w:t>
      </w:r>
      <w:r>
        <w:rPr>
          <w:lang w:val="en-US"/>
        </w:rPr>
        <w:t xml:space="preserve"> </w:t>
      </w:r>
      <w:r>
        <w:t>с</w:t>
      </w:r>
      <w:r>
        <w:rPr>
          <w:lang w:val="en-US"/>
        </w:rPr>
        <w:t xml:space="preserve"> </w:t>
      </w:r>
      <w:r>
        <w:t>временными</w:t>
      </w:r>
      <w:r>
        <w:rPr>
          <w:lang w:val="en-US"/>
        </w:rPr>
        <w:t xml:space="preserve"> </w:t>
      </w:r>
      <w:r>
        <w:t>рядами</w:t>
      </w:r>
      <w:r>
        <w:rPr>
          <w:lang w:val="en-US"/>
        </w:rPr>
        <w:t>: Power Consumption of Tetouan City (Kaggle, fedesoriano).</w:t>
      </w:r>
    </w:p>
    <w:p w:rsidR="00FC2A09" w:rsidRPr="008921EC" w:rsidRDefault="00F0761E">
      <w:pPr>
        <w:spacing w:after="120" w:line="360" w:lineRule="auto"/>
        <w:ind w:firstLine="709"/>
        <w:jc w:val="both"/>
        <w:rPr>
          <w:lang w:val="en-US"/>
        </w:rPr>
      </w:pPr>
      <w:r>
        <w:rPr>
          <w:lang w:val="en-US"/>
        </w:rPr>
        <w:t xml:space="preserve">– </w:t>
      </w:r>
      <w:r>
        <w:t>Источник</w:t>
      </w:r>
      <w:r>
        <w:rPr>
          <w:lang w:val="en-US"/>
        </w:rPr>
        <w:t xml:space="preserve"> </w:t>
      </w:r>
      <w:r>
        <w:t>набора</w:t>
      </w:r>
      <w:r>
        <w:rPr>
          <w:lang w:val="en-US"/>
        </w:rPr>
        <w:t xml:space="preserve"> </w:t>
      </w:r>
      <w:r>
        <w:t>данных</w:t>
      </w:r>
      <w:r>
        <w:rPr>
          <w:lang w:val="en-US"/>
        </w:rPr>
        <w:t xml:space="preserve"> </w:t>
      </w:r>
      <w:r>
        <w:t>с</w:t>
      </w:r>
      <w:r>
        <w:rPr>
          <w:lang w:val="en-US"/>
        </w:rPr>
        <w:t xml:space="preserve"> </w:t>
      </w:r>
      <w:r>
        <w:t>изображениями</w:t>
      </w:r>
      <w:r>
        <w:rPr>
          <w:lang w:val="en-US"/>
        </w:rPr>
        <w:t>: Chest X-Ray Images (Pneumonia) (Kaggle, Paul Mooney).</w:t>
      </w:r>
    </w:p>
    <w:p w:rsidR="00FC2A09" w:rsidRPr="008921EC" w:rsidRDefault="00F0761E">
      <w:pPr>
        <w:spacing w:after="120" w:line="360" w:lineRule="auto"/>
        <w:ind w:firstLine="709"/>
        <w:jc w:val="both"/>
        <w:rPr>
          <w:lang w:val="en-US"/>
        </w:rPr>
      </w:pPr>
      <w:r>
        <w:rPr>
          <w:lang w:val="en-US"/>
        </w:rPr>
        <w:t xml:space="preserve">– </w:t>
      </w:r>
      <w:r>
        <w:t>Источник</w:t>
      </w:r>
      <w:r>
        <w:rPr>
          <w:lang w:val="en-US"/>
        </w:rPr>
        <w:t xml:space="preserve"> </w:t>
      </w:r>
      <w:r>
        <w:t>набора</w:t>
      </w:r>
      <w:r>
        <w:rPr>
          <w:lang w:val="en-US"/>
        </w:rPr>
        <w:t xml:space="preserve"> </w:t>
      </w:r>
      <w:r>
        <w:t>текстовых</w:t>
      </w:r>
      <w:r>
        <w:rPr>
          <w:lang w:val="en-US"/>
        </w:rPr>
        <w:t xml:space="preserve"> </w:t>
      </w:r>
      <w:r>
        <w:t>данных</w:t>
      </w:r>
      <w:r>
        <w:rPr>
          <w:lang w:val="en-US"/>
        </w:rPr>
        <w:t>: BBC News Classification (Kaggle, alfathterry91).</w:t>
      </w:r>
    </w:p>
    <w:p w:rsidR="00FC2A09" w:rsidRPr="008921EC" w:rsidRDefault="00FC2A09">
      <w:pPr>
        <w:rPr>
          <w:lang w:val="en-US"/>
        </w:rPr>
      </w:pPr>
    </w:p>
    <w:p w:rsidR="00FC2A09" w:rsidRDefault="00F0761E">
      <w:pPr>
        <w:spacing w:after="120" w:line="360" w:lineRule="auto"/>
        <w:jc w:val="both"/>
      </w:pPr>
      <w:r>
        <w:rPr>
          <w:b/>
          <w:bCs/>
        </w:rPr>
        <w:t>Перечень подлежащих разработке вопросов:</w:t>
      </w:r>
    </w:p>
    <w:p w:rsidR="00FC2A09" w:rsidRDefault="00F0761E">
      <w:pPr>
        <w:spacing w:after="120" w:line="360" w:lineRule="auto"/>
        <w:ind w:firstLine="709"/>
        <w:jc w:val="both"/>
      </w:pPr>
      <w:r>
        <w:t>1. Подготовить для каждого типа данных (табличные данные, временные ряды, изображения, тексты) краткое описание выбранной задачи, решение которой связано с применением технологий искусственного интеллекта.</w:t>
      </w:r>
    </w:p>
    <w:p w:rsidR="00FC2A09" w:rsidRDefault="00F0761E">
      <w:pPr>
        <w:spacing w:after="120" w:line="360" w:lineRule="auto"/>
        <w:ind w:firstLine="709"/>
        <w:jc w:val="both"/>
      </w:pPr>
      <w:r>
        <w:t>2. 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A09" w:rsidRDefault="00F0761E">
      <w:pPr>
        <w:spacing w:after="120" w:line="360" w:lineRule="auto"/>
        <w:ind w:firstLine="709"/>
        <w:jc w:val="both"/>
      </w:pPr>
      <w:r>
        <w:lastRenderedPageBreak/>
        <w:t>3. Разработать и реализовать комплекс программ на языке Python, каждая из которых для заданного типа данных должна выполнять следующие основные функции первичного анализа: загрузка и визуализация данных, статистический анализ, выявление специфических особенностей для определённого типа данных.</w:t>
      </w:r>
    </w:p>
    <w:p w:rsidR="00FC2A09" w:rsidRDefault="00F0761E">
      <w:pPr>
        <w:spacing w:after="120" w:line="360" w:lineRule="auto"/>
        <w:ind w:firstLine="709"/>
        <w:jc w:val="both"/>
      </w:pPr>
      <w:r>
        <w:t>4. Сформулировать выводы по каждому этапу анализа, а также итоговое заключение о качестве данных и их пригодности для решения поставленной задачи.</w:t>
      </w:r>
    </w:p>
    <w:p w:rsidR="00FC2A09" w:rsidRDefault="00F0761E">
      <w:pPr>
        <w:spacing w:after="120" w:line="360" w:lineRule="auto"/>
        <w:ind w:firstLine="709"/>
        <w:jc w:val="both"/>
      </w:pPr>
      <w:r>
        <w:t>5. Разместить исходный код в репозитории системы контроля версий Git.</w:t>
      </w:r>
    </w:p>
    <w:p w:rsidR="00FC2A09" w:rsidRDefault="00FC2A09"/>
    <w:p w:rsidR="00FC2A09" w:rsidRDefault="00F0761E">
      <w:pPr>
        <w:spacing w:after="120" w:line="360" w:lineRule="auto"/>
        <w:ind w:firstLine="709"/>
        <w:jc w:val="both"/>
      </w:pPr>
      <w:r>
        <w:t>Дата выдачи задания: «___»_________ 2026 г.</w:t>
      </w:r>
    </w:p>
    <w:p w:rsidR="00FC2A09" w:rsidRDefault="00FC2A09"/>
    <w:p w:rsidR="00FC2A09" w:rsidRDefault="00F0761E">
      <w:pPr>
        <w:spacing w:after="120" w:line="360" w:lineRule="auto"/>
        <w:ind w:firstLine="709"/>
        <w:jc w:val="both"/>
      </w:pPr>
      <w:r>
        <w:t>Научный руководитель: Н.Б. Паршукова   ___________</w:t>
      </w:r>
    </w:p>
    <w:p w:rsidR="00FC2A09" w:rsidRDefault="00F0761E">
      <w:pPr>
        <w:spacing w:after="120" w:line="360" w:lineRule="auto"/>
        <w:ind w:firstLine="709"/>
        <w:jc w:val="both"/>
      </w:pPr>
      <w:r>
        <w:t>Задание принял к исполнению: К.А. Уряшев   ___________</w:t>
      </w:r>
    </w:p>
    <w:p w:rsidR="00FC2A09" w:rsidRDefault="00FC2A09">
      <w:pPr>
        <w:sectPr w:rsidR="00FC2A09">
          <w:footerReference w:type="default" r:id="rId7"/>
          <w:pgSz w:w="11906" w:h="16838"/>
          <w:pgMar w:top="1134" w:right="992" w:bottom="1134" w:left="1701" w:header="708" w:footer="708" w:gutter="0"/>
          <w:cols w:space="720"/>
          <w:docGrid w:linePitch="360"/>
        </w:sectPr>
      </w:pPr>
    </w:p>
    <w:p w:rsidR="00FC2A09" w:rsidRDefault="00F0761E">
      <w:pPr>
        <w:pStyle w:val="1"/>
        <w:pageBreakBefore/>
      </w:pPr>
      <w:r>
        <w:lastRenderedPageBreak/>
        <w:t>ВВЕДЕНИЕ</w:t>
      </w:r>
    </w:p>
    <w:p w:rsidR="00FC2A09" w:rsidRDefault="00F0761E">
      <w:pPr>
        <w:spacing w:after="120" w:line="360" w:lineRule="auto"/>
        <w:ind w:firstLine="709"/>
        <w:jc w:val="both"/>
      </w:pPr>
      <w:r>
        <w:t>Качество исходных данных является фундаментальным фактором, определяющим результативность систем искусственного интеллекта. Согласно исследованию Алама и Яо [1], применение базовых методов предварительной обработки текстовых данных (удаление стоп-слов, стемминг, векторное представление) повышает точность классификаторов машинного обучения в среднем на 5–15%. В работе Хи и Гарсии [2] показано, что применение методов балансировки классов (SMOTE, cost-sensitive learning) при наличии дисбаланса в обучающей выборке позволяет улучшить метрику F1 на 30% и более. Бокс и соавторы [3] демонстрируют, что качество предобработки временных рядов — включая нормализацию, заполнение пропусков и стационаризацию — напрямую влияет на прогностическую точность моделей.</w:t>
      </w:r>
    </w:p>
    <w:p w:rsidR="00FC2A09" w:rsidRDefault="00F0761E">
      <w:pPr>
        <w:spacing w:after="120" w:line="360" w:lineRule="auto"/>
        <w:ind w:firstLine="709"/>
        <w:jc w:val="both"/>
      </w:pPr>
      <w:r>
        <w:t>Современные задачи искусственного интеллекта охватывают широкий спектр типов данных. Табличные данные представляют собой структурированные наборы числовых и категориальных признаков и применяются в задачах классификации, регрессии и кластеризации. Временные ряды характеризуются последовательной зависимостью наблюдений и используются в задачах прогнозирования и детектирования аномалий. Данные изображений обрабатываются методами компьютерного зрения и находят применение в медицинской диагностике, детектировании объектов и сегментации. Текстовые данные являются основой задач обработки естественного языка (NLP): классификации, машинного перевода, извлечения информации. Аудиоданные используются для распознавания речи, классификации звуков и анализа музыки.</w:t>
      </w:r>
    </w:p>
    <w:p w:rsidR="00FC2A09" w:rsidRDefault="00F0761E">
      <w:pPr>
        <w:spacing w:after="120" w:line="360" w:lineRule="auto"/>
        <w:ind w:firstLine="709"/>
        <w:jc w:val="both"/>
      </w:pPr>
      <w:r>
        <w:t xml:space="preserve">Таким образом, владение навыками первичного анализа данных различных типов является необходимой компетенцией специалиста в области искусственного интеллекта. Только корректный первичный анализ </w:t>
        <w:lastRenderedPageBreak/>
        <w:t>позволяет выявить проблемы качества данных до начала обучения моделей и выработать стратегию их устранения.</w:t>
      </w:r>
    </w:p>
    <w:p w:rsidR="00FC2A09" w:rsidRDefault="00FC2A09"/>
    <w:p w:rsidR="00FC2A09" w:rsidRDefault="00F0761E">
      <w:pPr>
        <w:spacing w:after="120" w:line="360" w:lineRule="auto"/>
      </w:pPr>
      <w:r>
        <w:rPr>
          <w:b/>
          <w:bCs/>
        </w:rPr>
        <w:t>Постановка задачи</w:t>
      </w:r>
    </w:p>
    <w:p w:rsidR="00FC2A09" w:rsidRDefault="00F0761E">
      <w:pPr>
        <w:spacing w:after="120" w:line="360" w:lineRule="auto"/>
        <w:ind w:firstLine="709"/>
        <w:jc w:val="both"/>
      </w:pPr>
      <w:r>
        <w:t>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w:t>
      </w:r>
    </w:p>
    <w:p w:rsidR="00FC2A09" w:rsidRDefault="00F0761E">
      <w:pPr>
        <w:spacing w:after="120" w:line="360" w:lineRule="auto"/>
        <w:ind w:firstLine="709"/>
        <w:jc w:val="both"/>
      </w:pPr>
      <w:r>
        <w:t>Для достижения поставленной цели необходимо решить следующие задачи:</w:t>
      </w:r>
    </w:p>
    <w:p w:rsidR="00FC2A09" w:rsidRDefault="00F0761E">
      <w:pPr>
        <w:spacing w:after="80" w:line="360" w:lineRule="auto"/>
        <w:ind w:left="709" w:hanging="360"/>
        <w:jc w:val="both"/>
      </w:pPr>
      <w:r>
        <w:t>– подготовить для каждого типа данных (табличные данные, временные ряды, изображения, тексты) краткое описание выбранной задачи, решение которой связано с применением технологий искусственного интеллекта;</w:t>
      </w:r>
    </w:p>
    <w:p w:rsidR="00FC2A09" w:rsidRDefault="00F0761E">
      <w:pPr>
        <w:spacing w:after="80" w:line="360" w:lineRule="auto"/>
        <w:ind w:left="709" w:hanging="360"/>
        <w:jc w:val="both"/>
      </w:pPr>
      <w:r>
        <w:t>– 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A09" w:rsidRDefault="00F0761E">
      <w:pPr>
        <w:spacing w:after="80" w:line="360" w:lineRule="auto"/>
        <w:ind w:left="709" w:hanging="360"/>
        <w:jc w:val="both"/>
      </w:pPr>
      <w:r>
        <w:t>– разработать и реализовать комплекс программ на языке Python, каждая из которых для заданного типа данных должна выполнять функции первичного анализа: загрузка и визуализация данных, статистический анализ, выявление специфических особенностей;</w:t>
      </w:r>
    </w:p>
    <w:p w:rsidR="00FC2A09" w:rsidRDefault="00F0761E">
      <w:pPr>
        <w:spacing w:after="80" w:line="360" w:lineRule="auto"/>
        <w:ind w:left="709" w:hanging="360"/>
        <w:jc w:val="both"/>
      </w:pPr>
      <w:r>
        <w:t>– сформулировать выводы по каждому этапу анализа, а также итоговое заключение о качестве данных и их пригодности для решения поставленной задачи;</w:t>
      </w:r>
    </w:p>
    <w:p w:rsidR="00FC2A09" w:rsidRDefault="00F0761E">
      <w:pPr>
        <w:spacing w:after="80" w:line="360" w:lineRule="auto"/>
        <w:ind w:left="709" w:hanging="360"/>
        <w:jc w:val="both"/>
      </w:pPr>
      <w:r>
        <w:t>– разместить исходный код в репозитории системы контроля версий Git.</w:t>
      </w:r>
    </w:p>
    <w:p w:rsidR="00FC2A09" w:rsidRDefault="00FC2A09"/>
    <w:p w:rsidR="00FC2A09" w:rsidRDefault="00F0761E">
      <w:pPr>
        <w:spacing w:after="120" w:line="360" w:lineRule="auto"/>
      </w:pPr>
      <w:r>
        <w:rPr>
          <w:b/>
          <w:bCs/>
        </w:rPr>
        <w:t>Структура и содержание работы</w:t>
      </w:r>
    </w:p>
    <w:p w:rsidR="00FC2A09" w:rsidRDefault="00F0761E">
      <w:pPr>
        <w:spacing w:after="120" w:line="360" w:lineRule="auto"/>
        <w:ind w:firstLine="709"/>
        <w:jc w:val="both"/>
      </w:pPr>
      <w:r>
        <w:t>Работа состоит из введения, четырёх разделов, заключения и списка литературы. В первом разделе выполняется первичный анализ набора табличных данных World Happiness Report 2015–2021. Второй раздел посвящён анализу данных с временными рядами — датасету Power Consumption of Tetouan City. В третьем разделе исследуются данные изображений рентгеновских снимков Chest X-Ray Pneumonia. Четвёртый раздел содержит анализ текстовых данных датасета BBC News. В заключении подводятся итоги курсового проекта.</w:t>
      </w:r>
    </w:p>
    <w:p w:rsidR="00FC2A09" w:rsidRDefault="00F0761E">
      <w:r>
        <w:br w:type="page"/>
      </w:r>
    </w:p>
    <w:p w:rsidR="00FC2A09" w:rsidRDefault="00F0761E">
      <w:pPr>
        <w:pStyle w:val="1"/>
      </w:pPr>
      <w:r>
        <w:lastRenderedPageBreak/>
        <w:t>1. ПЕРВИЧНЫЙ АНАЛИЗ НАБОРА ТАБЛИЧНЫХ ДАННЫХ</w:t>
      </w:r>
    </w:p>
    <w:p w:rsidR="00FC2A09" w:rsidRDefault="00F0761E">
      <w:pPr>
        <w:pStyle w:val="2"/>
        <w:ind w:firstLine="709"/>
      </w:pPr>
      <w:r>
        <w:t>1.1 Постановка задачи</w:t>
      </w:r>
    </w:p>
    <w:p w:rsidR="00FC2A09" w:rsidRDefault="00F0761E">
      <w:pPr>
        <w:spacing w:after="120" w:line="360" w:lineRule="auto"/>
        <w:ind w:firstLine="709"/>
        <w:jc w:val="both"/>
      </w:pPr>
      <w:r>
        <w:t>Рассматривается задача регрессии: по набору социально-экономических показателей стран предсказать индекс субъективного благополучия населения (Ladder Score). Выбранная задача относится к предметной области психологии благополучия и экономики счастья.</w:t>
      </w:r>
    </w:p>
    <w:p w:rsidR="00FC2A09" w:rsidRDefault="00F0761E">
      <w:pPr>
        <w:spacing w:after="120" w:line="360" w:lineRule="auto"/>
        <w:ind w:firstLine="709"/>
        <w:jc w:val="both"/>
      </w:pPr>
      <w:r>
        <w:t>Входные данные модели: ВВП на душу населения (в логарифмической шкале), уровень социальной поддержки, ожидаемая продолжительность здоровой жизни, свобода жизненного выбора, щедрость, восприятие уровня коррупции. Выходные данные: числовое значение индекса счастья (Ladder Score) в диапазоне от 0 до 10.</w:t>
      </w:r>
    </w:p>
    <w:p w:rsidR="00FC2A09" w:rsidRDefault="00F0761E">
      <w:pPr>
        <w:spacing w:after="120" w:line="360" w:lineRule="auto"/>
        <w:ind w:firstLine="709"/>
        <w:jc w:val="both"/>
      </w:pPr>
      <w:r>
        <w:t>Практическая значимость задачи состоит в возможности выявления факторов, в наибольшей степени определяющих благополучие граждан. Результаты могут быть использованы правительствами и аналитиками при формировании социальной и экономической политики. Требования к данным: отсутствие пропущенных значений в ключевых признаках, нормальность или близость к нормальному распределению числовых признаков, отсутствие грубых выбросов.</w:t>
      </w:r>
    </w:p>
    <w:p w:rsidR="00FC2A09" w:rsidRDefault="00F0761E">
      <w:pPr>
        <w:pStyle w:val="2"/>
        <w:ind w:firstLine="709"/>
      </w:pPr>
      <w:r>
        <w:t>1.2 Описание выбранного набора данных</w:t>
      </w:r>
    </w:p>
    <w:p w:rsidR="00FC2A09" w:rsidRDefault="00F0761E">
      <w:pPr>
        <w:spacing w:after="120" w:line="360" w:lineRule="auto"/>
        <w:ind w:firstLine="709"/>
        <w:jc w:val="both"/>
      </w:pPr>
      <w:r>
        <w:t>Для анализа выбран датасет «World Happiness Report 2015–2021», размещённый на платформе Kaggle (автор: mathurinache). URL: https://www.kaggle.com/datasets/mathurinache/world-happiness-report (дата обращения: 2026 г.). Данные основаны на ежегодных докладах ООН о счастье и охватывают 1 084 страно-лет наблюдений за период 2015–2021 гг. по 149 странам мира. Объединение семи ежегодных волн позволяет проследить динамику субъективного благополучия в разрезе стран и регионов и выполнить более статистически устойчивый анализ.</w:t>
      </w:r>
    </w:p>
    <w:p w:rsidR="00FC2A09" w:rsidRDefault="00FC2A09"/>
    <w:p w:rsidR="008921EC" w:rsidRDefault="008921EC"/>
    <w:p w:rsidR="008921EC" w:rsidRDefault="008921EC"/>
    <w:p w:rsidR="008921EC" w:rsidRDefault="008921EC">
      <w:pPr>
        <w:spacing w:before="120" w:after="120" w:line="280" w:lineRule="auto"/>
        <w:jc w:val="center"/>
        <w:rPr>
          <w:b/>
          <w:bCs/>
          <w:sz w:val="24"/>
          <w:szCs w:val="24"/>
        </w:rPr>
      </w:pPr>
    </w:p>
    <w:p w:rsidR="00FC2A09" w:rsidRDefault="00F0761E">
      <w:pPr>
        <w:spacing w:before="120" w:after="120" w:line="280" w:lineRule="auto"/>
        <w:jc w:val="left"/>
      </w:pPr>
      <w:r>
        <w:rPr>
          <w:b/>
          <w:bCs/>
          <w:sz w:val="24"/>
          <w:szCs w:val="24"/>
        </w:rPr>
        <w:lastRenderedPageBreak/>
        <w:t>Таблица 1 – Характеристика датасета World Happiness Report 2021</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4"/>
        <w:gridCol w:w="5989"/>
      </w:tblGrid>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Характеристика</w:t>
            </w:r>
          </w:p>
        </w:tc>
        <w:tc>
          <w:tcPr>
            <w:tcW w:w="5988"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Значение</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Название датасета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World Happiness Report 2021</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Kaggle (mathurinache/world-happiness-report-2021)</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Первоисточник данных</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UN Sustainable Development Solutions Network</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Объём датасета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149 наблюдений (страны)</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Количество признаков</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20 столбцов</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Тип целевой переменной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Вещественное число (Ladder Score)</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Числовые признаки</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ВВП, социальная поддержка, продолжительность жизни и др.</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Категориальные признаки</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Country name, Regional indicator</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Пропущенные значения</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Отсутствуют в ключевых признаках</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Лицензия</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CC0 (Public Domain)</w:t>
            </w:r>
          </w:p>
        </w:tc>
      </w:tr>
    </w:tbl>
    <w:p w:rsidR="00FC2A09" w:rsidRDefault="00FC2A09"/>
    <w:p w:rsidR="00FC2A09" w:rsidRDefault="00F0761E">
      <w:pPr>
        <w:spacing w:after="120" w:line="360" w:lineRule="auto"/>
        <w:ind w:firstLine="709"/>
        <w:jc w:val="both"/>
      </w:pPr>
      <w:r>
        <w:t>В датасете представлено 10 регионов мира: Западная Европа, Северная Америка, Ближний Восток и Северная Африка, Латинская Америка и Карибский бассейн, Центральная и Восточная Европа, Восточная Азия, Юго-Восточная Азия, Южная Азия, Содружество Независимых Государств, Африка к югу от Сахары.</w:t>
      </w:r>
    </w:p>
    <w:p>
      <w:pPr>
        <w:jc w:val="both"/>
      </w:pPr>
      <w:r>
        <w:rPr>
          <w:rFonts w:ascii="Times New Roman" w:hAnsi="Times New Roman"/>
          <w:sz w:val="28"/>
        </w:rPr>
        <w:t xml:space="preserve">1.2.3 Потенциальная чувствительность данных и наличие персональных данных (PII)</w:t>
      </w:r>
    </w:p>
    <w:p>
      <w:pPr>
        <w:jc w:val="both"/>
      </w:pPr>
      <w:r>
        <w:rPr>
          <w:rFonts w:ascii="Times New Roman" w:hAnsi="Times New Roman"/>
          <w:sz w:val="28"/>
        </w:rPr>
        <w:t xml:space="preserve">Датасет не содержит персональных данных (PII): отсутствуют имена физических лиц, даты рождения, адреса, идентификаторы. Единица наблюдения — страна (Country name) с агрегированными национальными показателями. Потенциальная чувствительность: данные могут использоваться для формирования стереотипов об отдельных странах и нациях (риск дискриминации при применении модели). Индекс счастья носит субъективный характер и не отражает индивидуальное благополучие граждан. Датасет распространяется по лицензии CC0 (Public Domain), ограничений на использование не накладывает, однако авторы призывают соблюдать этические нормы при публикации сравнительных рейтингов.</w:t>
      </w:r>
    </w:p>
    <w:p w:rsidR="00FC2A09" w:rsidRDefault="00F0761E">
      <w:pPr>
        <w:pStyle w:val="2"/>
        <w:ind w:firstLine="709"/>
      </w:pPr>
      <w:r>
        <w:t>1.3 Описание результатов первичного анализа</w:t>
      </w:r>
    </w:p>
    <w:p w:rsidR="00FC2A09" w:rsidRDefault="00F0761E">
      <w:pPr>
        <w:spacing w:before="240" w:after="120" w:line="360" w:lineRule="auto"/>
        <w:ind w:firstLine="709"/>
      </w:pPr>
      <w:r>
        <w:rPr>
          <w:b/>
          <w:bCs/>
        </w:rPr>
        <w:t>1.3.1 Загрузка и общий обзор данных</w:t>
      </w:r>
    </w:p>
    <w:p w:rsidR="00FC2A09" w:rsidRDefault="00F0761E">
      <w:pPr>
        <w:spacing w:after="120" w:line="360" w:lineRule="auto"/>
        <w:ind w:firstLine="709"/>
        <w:jc w:val="both"/>
      </w:pPr>
      <w:r>
        <w:t>Датасет загружен в виде CSV-файла и содержит 1 084 строки и 21 столбец. Имена столбцов переименованы в удобный формат (например, «Ladder score» → «happiness», «Logged GDP per capita» → «gdp»). Тип всех числовых признаков — float64, тип строковых — object. Добавлен столбец «year» (год наблюдения). Данные охватывают период 2015–2021 гг.</w:t>
      </w:r>
    </w:p>
    <w:p w:rsidR="008921EC" w:rsidRDefault="008921EC">
      <w:pPr>
        <w:spacing w:after="120" w:line="360" w:lineRule="auto"/>
        <w:ind w:firstLine="709"/>
        <w:jc w:val="both"/>
      </w:pPr>
    </w:p>
    <w:p w:rsidR="008921EC" w:rsidRDefault="008921EC">
      <w:pPr>
        <w:spacing w:after="120" w:line="360" w:lineRule="auto"/>
        <w:ind w:firstLine="709"/>
        <w:jc w:val="both"/>
      </w:pPr>
      <w:bookmarkStart w:id="0" w:name="_GoBack"/>
      <w:bookmarkEnd w:id="0"/>
    </w:p>
    <w:p w:rsidR="00FC2A09" w:rsidRDefault="00F0761E">
      <w:pPr>
        <w:spacing w:before="240" w:after="120" w:line="360" w:lineRule="auto"/>
        <w:ind w:firstLine="709"/>
      </w:pPr>
      <w:r>
        <w:rPr>
          <w:b/>
          <w:bCs/>
        </w:rPr>
        <w:lastRenderedPageBreak/>
        <w:t>1.3.2 Пропущенные значения</w:t>
      </w:r>
    </w:p>
    <w:p w:rsidR="00FC2A09" w:rsidRDefault="00F0761E">
      <w:pPr>
        <w:spacing w:after="120" w:line="360" w:lineRule="auto"/>
        <w:ind w:firstLine="709"/>
        <w:jc w:val="both"/>
      </w:pPr>
      <w:r>
        <w:t>В результате проверки установлено, что в объединённом датасете за 2015–2021 гг. пропущенные значения в основных признаках (happiness, gdp, social_support, life_expectancy, freedom, generosity, corruption) составляют менее 2% наблюдений (22 из 1 084). Пропуски сосредоточены в столбцах generosity и corruption у ряда стран за 2015–2016 годы и заполнены медианным значением соответствующего признака по стране.</w:t>
      </w:r>
    </w:p>
    <w:p w:rsidR="00FC2A09" w:rsidRDefault="00F0761E">
      <w:pPr>
        <w:spacing w:before="240" w:after="120" w:line="360" w:lineRule="auto"/>
        <w:ind w:firstLine="709"/>
      </w:pPr>
      <w:r>
        <w:rPr>
          <w:b/>
          <w:bCs/>
        </w:rPr>
        <w:t>1.3.3 Описательная статистика</w:t>
      </w:r>
    </w:p>
    <w:p w:rsidR="00FC2A09" w:rsidRDefault="00F0761E">
      <w:pPr>
        <w:spacing w:after="120" w:line="360" w:lineRule="auto"/>
        <w:ind w:firstLine="709"/>
        <w:jc w:val="both"/>
      </w:pPr>
      <w:r>
        <w:t>Индекс счастья варьируется в диапазоне от 2,52 (наименее счастливая страна) до 7,84 (наиболее счастливая). Среднее значение составляет около 5,53, медиана — 5,53, что указывает на близость распределения к симметричному. Стандартное отклонение равно 1,12. Признак «generosity» (щедрость) принимает отрицательные значения у ряда стран, что является особенностью методологии расчёта и не является ошибкой данных.</w:t>
      </w:r>
    </w:p>
    <w:p w:rsidR="00FC2A09" w:rsidRDefault="00F0761E">
      <w:pPr>
        <w:spacing w:before="240" w:after="120" w:line="360" w:lineRule="auto"/>
        <w:ind w:firstLine="709"/>
      </w:pPr>
      <w:r>
        <w:rPr>
          <w:b/>
          <w:bCs/>
        </w:rPr>
        <w:t>1.3.4 Визуализация распределений</w:t>
      </w:r>
    </w:p>
    <w:p w:rsidR="00FC2A09" w:rsidRDefault="00F0761E">
      <w:pPr>
        <w:spacing w:after="120" w:line="360" w:lineRule="auto"/>
        <w:ind w:firstLine="709"/>
        <w:jc w:val="both"/>
      </w:pPr>
      <w:r>
        <w:t>Построены гистограммы для шести числовых признаков (рисунок 1). Индекс счастья имеет приблизительно нормальное распределение с лёгким левым скосом. Признак «gdp» (ВВП на душу населения в логарифмической шкале) также близок к нормальному. Признак «generosity» имеет узкий пик вблизи нуля — большинство стран демонстрируют низкий уровень щедрости по меркам данного индекса. Признак «corruption» (восприятие коррупции) сильно скошен вправо: у большинства стран значение невысокое (0,1–0,15), но у отдельных стран — значительно выше (до 0,65).</w:t>
      </w:r>
    </w:p>
    <w:p w:rsidR="00FC2A09" w:rsidRDefault="00F0761E">
      <w:pPr>
        <w:spacing w:before="240" w:after="120" w:line="360" w:lineRule="auto"/>
        <w:ind w:firstLine="709"/>
      </w:pPr>
      <w:r>
        <w:rPr>
          <w:b/>
          <w:bCs/>
        </w:rPr>
        <w:t>1.3.5 Корреляционный анализ</w:t>
      </w:r>
    </w:p>
    <w:p w:rsidR="00FC2A09" w:rsidRDefault="00F0761E">
      <w:pPr>
        <w:spacing w:after="120" w:line="360" w:lineRule="auto"/>
        <w:ind w:firstLine="709"/>
        <w:jc w:val="both"/>
      </w:pPr>
      <w:r>
        <w:t xml:space="preserve">Корреляционная матрица показала, что наиболее высокую корреляцию с индексом счастья имеют: ВВП на душу населения (r = 0,78), социальная поддержка (r = 0,73), ожидаемая продолжительность жизни (r = 0,77). Признак «generosity» имеет слабую корреляцию с индексом счастья (r ≈ 0,15). </w:t>
        <w:lastRenderedPageBreak/>
        <w:t>Обнаружены высококоррелированные пары признаков: gdp и life_expectancy (r = 0,85), что свидетельствует о мультиколлинеарности и необходимости применения методов отбора признаков или регуляризации при построении модели.</w:t>
      </w:r>
    </w:p>
    <w:p>
      <w:pPr>
        <w:jc w:val="both"/>
      </w:pPr>
      <w:r>
        <w:rPr>
          <w:rFonts w:ascii="Times New Roman" w:hAnsi="Times New Roman"/>
          <w:sz w:val="28"/>
        </w:rPr>
        <w:t xml:space="preserve">1.3.5b Тепловая карта «Индекс счастья по регионам и годам»</w:t>
      </w:r>
    </w:p>
    <w:p>
      <w:pPr>
        <w:jc w:val="both"/>
      </w:pPr>
      <w:r>
        <w:rPr>
          <w:rFonts w:ascii="Times New Roman" w:hAnsi="Times New Roman"/>
          <w:sz w:val="28"/>
        </w:rPr>
        <w:t xml:space="preserve">В качестве второй тепловой карты построена матрица средних значений индекса счастья с осями «Регион мира» × «Год» (2015–2021). Тепловая карта наглядно иллюстрирует межрегиональные различия в динамике: Западная Европа стабильно удерживает высокие значения (6,7–6,9) на протяжении всего периода; страны Африки к югу от Сахары демонстрируют самые низкие значения (4,2–4,5); регион Восточной Азии показывает заметный прирост с 5,1 (2015) до 5,3 (2021). Построена с помощью Seaborn.heatmap() с аннотациями значений (fmt=".2f") и цветовой схемой «YlOrRd». Данная тепловая карта дополняет корреляционную матрицу (1.3.5) и позволяет выявить временно́е измерение региональных различий.</w:t>
      </w:r>
    </w:p>
    <w:p w:rsidR="00FC2A09" w:rsidRDefault="00F0761E">
      <w:pPr>
        <w:spacing w:before="240" w:after="120" w:line="360" w:lineRule="auto"/>
        <w:ind w:firstLine="709"/>
      </w:pPr>
      <w:r>
        <w:rPr>
          <w:b/>
          <w:bCs/>
        </w:rPr>
        <w:t>1.3.6 Анализ по регионам мира</w:t>
      </w:r>
    </w:p>
    <w:p w:rsidR="00FC2A09" w:rsidRDefault="00F0761E">
      <w:pPr>
        <w:spacing w:after="120" w:line="360" w:lineRule="auto"/>
        <w:ind w:firstLine="709"/>
        <w:jc w:val="both"/>
      </w:pPr>
      <w:r>
        <w:t>Анализ средних значений индекса счастья по регионам мира показал значительные межрегиональные различия. Западная Европа лидирует со средним индексом 6,90, за ней следуют Северная Америка и Австралия/Новая Зеландия (средний индекс ~7,10). Наименьшие значения демонстрируют страны Африки к югу от Сахары (среднее ≈ 4,40). В динамике 2015–2021 гг. наблюдается устойчивый рост индекса в Восточной Азии (+0,18 за период) и стагнация в Западной Европе (±0,05), что согласуется с теорией «насыщения счастьем» в высокоразвитых регионах.</w:t>
      </w:r>
    </w:p>
    <w:p w:rsidR="00FC2A09" w:rsidRDefault="00F0761E">
      <w:pPr>
        <w:spacing w:before="240" w:after="120" w:line="360" w:lineRule="auto"/>
        <w:ind w:firstLine="709"/>
      </w:pPr>
      <w:r>
        <w:rPr>
          <w:b/>
          <w:bCs/>
        </w:rPr>
        <w:t>1.3.7 Топ-10 и антирейтинг стран</w:t>
      </w:r>
    </w:p>
    <w:p w:rsidR="00FC2A09" w:rsidRDefault="00F0761E">
      <w:pPr>
        <w:spacing w:after="120" w:line="360" w:lineRule="auto"/>
        <w:ind w:firstLine="709"/>
        <w:jc w:val="both"/>
      </w:pPr>
      <w:r>
        <w:t>Среди наиболее счастливых стран мира лидируют скандинавские государства: Финляндия (7,84), Исландия (7,55), Дания (7,52), Швейцария (7,51), Нидерланды (7,46). Наименее счастливые страны — преимущественно государства Тропической Африки и Афганистан (2,52). Зависимость между ВВП и индексом счастья носит характер положительной нелинейной связи: рост ВВП в бедных странах резко повышает индекс, тогда как в богатых странах эффект насыщения снижает его темп роста. Коэффициент корреляции составляет r = 0,78 (p &lt; 0,001).</w:t>
      </w:r>
    </w:p>
    <w:p w:rsidR="00FC2A09" w:rsidRDefault="00F0761E">
      <w:pPr>
        <w:spacing w:before="240" w:after="120" w:line="360" w:lineRule="auto"/>
        <w:ind w:firstLine="709"/>
      </w:pPr>
      <w:r>
        <w:rPr>
          <w:b/>
          <w:bCs/>
        </w:rPr>
        <w:t>1.3.8 Обнаружение выбросов</w:t>
      </w:r>
    </w:p>
    <w:p w:rsidR="00FC2A09" w:rsidRDefault="00F0761E">
      <w:pPr>
        <w:spacing w:after="120" w:line="360" w:lineRule="auto"/>
        <w:ind w:firstLine="709"/>
        <w:jc w:val="both"/>
      </w:pPr>
      <w:r>
        <w:t>Методом межквартильного размаха (IQR) выявлены выбросы в признаке «generosity»: ряд стран значительно превосходит 95-й процентиль. Признак «corruption» также содержит выбросы со стороны высоких значений — страны с аномально высоким уровнем восприятия коррупции. По индексу счастья и ВВП явных выбросов, требующих исключения, не обнаружено: все значения содержательно интерпретируемы.</w:t>
      </w:r>
    </w:p>
    <w:p w:rsidR="00FC2A09" w:rsidRDefault="00F0761E">
      <w:pPr>
        <w:spacing w:before="120" w:after="60"/>
        <w:jc w:val="center"/>
      </w:pPr>
      <w:r>
        <w:rPr>
          <w:noProof/>
        </w:rPr>
        <w:lastRenderedPageBreak/>
        <w:drawing>
          <wp:inline distT="0" distB="0" distL="0" distR="0">
            <wp:extent cx="4572000" cy="2667000"/>
            <wp:effectExtent l="0" t="0" r="0" b="0"/>
            <wp:docPr id="1" name="Рисунок 1 – Распределения числовых признаков (World Happiness Report 2021)" descr="Рисунок 1 – Распределения числовых признаков (World Happiness Report 2021)" title="Рисунок 1 – Распределения числовых признаков (World Happiness Report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667000"/>
                    </a:xfrm>
                    <a:prstGeom prst="rect">
                      <a:avLst/>
                    </a:prstGeom>
                  </pic:spPr>
                </pic:pic>
              </a:graphicData>
            </a:graphic>
          </wp:inline>
        </w:drawing>
      </w:r>
    </w:p>
    <w:p w:rsidR="00FC2A09" w:rsidRDefault="00F0761E">
      <w:pPr>
        <w:spacing w:after="180"/>
        <w:jc w:val="center"/>
      </w:pPr>
      <w:r>
        <w:rPr>
          <w:b/>
          <w:bCs/>
          <w:i/>
          <w:iCs/>
          <w:sz w:val="24"/>
          <w:szCs w:val="24"/>
        </w:rPr>
        <w:t>Рисунок 1 – Распределения числовых признаков (World Happiness Report 2021)</w:t>
      </w:r>
    </w:p>
    <w:p w:rsidR="00FC2A09" w:rsidRDefault="00F0761E">
      <w:pPr>
        <w:spacing w:before="120" w:after="60"/>
        <w:jc w:val="center"/>
      </w:pPr>
      <w:r>
        <w:rPr>
          <w:noProof/>
        </w:rPr>
        <w:drawing>
          <wp:inline distT="0" distB="0" distL="0" distR="0">
            <wp:extent cx="4095750" cy="3076575"/>
            <wp:effectExtent l="0" t="0" r="0" b="0"/>
            <wp:docPr id="2" name="Рисунок 2 – Матрица корреляций числовых признаков" descr="Рисунок 2 – Матрица корреляций числовых признаков" title="Рисунок 2 – Матрица корреляций числовых призна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3076575"/>
                    </a:xfrm>
                    <a:prstGeom prst="rect">
                      <a:avLst/>
                    </a:prstGeom>
                  </pic:spPr>
                </pic:pic>
              </a:graphicData>
            </a:graphic>
          </wp:inline>
        </w:drawing>
      </w:r>
    </w:p>
    <w:p w:rsidR="00FC2A09" w:rsidRDefault="00F0761E">
      <w:pPr>
        <w:spacing w:after="180"/>
        <w:jc w:val="center"/>
      </w:pPr>
      <w:r>
        <w:rPr>
          <w:b/>
          <w:bCs/>
          <w:i/>
          <w:iCs/>
          <w:sz w:val="24"/>
          <w:szCs w:val="24"/>
        </w:rPr>
        <w:t>Рисунок 2 – Матрица корреляций числовых признаков</w:t>
      </w:r>
    </w:p>
    <w:p w:rsidR="00FC2A09" w:rsidRDefault="00F0761E">
      <w:pPr>
        <w:spacing w:before="120" w:after="60"/>
        <w:jc w:val="center"/>
      </w:pPr>
      <w:r>
        <w:rPr>
          <w:noProof/>
        </w:rPr>
        <w:drawing>
          <wp:inline distT="0" distB="0" distL="0" distR="0">
            <wp:extent cx="4572000" cy="2286000"/>
            <wp:effectExtent l="0" t="0" r="0" b="0"/>
            <wp:docPr id="3" name="Рисунок 3 – Распределение индекса счастья по регионам мира" descr="Рисунок 3 – Распределение индекса счастья по регионам мира" title="Рисунок 3 – Распределение индекса счастья по регионам ми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286000"/>
                    </a:xfrm>
                    <a:prstGeom prst="rect">
                      <a:avLst/>
                    </a:prstGeom>
                  </pic:spPr>
                </pic:pic>
              </a:graphicData>
            </a:graphic>
          </wp:inline>
        </w:drawing>
      </w:r>
    </w:p>
    <w:p w:rsidR="00FC2A09" w:rsidRDefault="00F0761E">
      <w:pPr>
        <w:spacing w:after="180"/>
        <w:jc w:val="center"/>
      </w:pPr>
      <w:r>
        <w:rPr>
          <w:b/>
          <w:bCs/>
          <w:i/>
          <w:iCs/>
          <w:sz w:val="24"/>
          <w:szCs w:val="24"/>
        </w:rPr>
        <w:t>Рисунок 3 – Распределение индекса счастья по регионам мира</w:t>
      </w:r>
    </w:p>
    <w:p w:rsidR="00FC2A09" w:rsidRDefault="00F0761E">
      <w:pPr>
        <w:spacing w:before="120" w:after="60"/>
        <w:jc w:val="center"/>
      </w:pPr>
      <w:r>
        <w:rPr>
          <w:noProof/>
        </w:rPr>
        <w:lastRenderedPageBreak/>
        <w:drawing>
          <wp:inline distT="0" distB="0" distL="0" distR="0">
            <wp:extent cx="4572000" cy="1762125"/>
            <wp:effectExtent l="0" t="0" r="0" b="0"/>
            <wp:docPr id="4" name="Рисунок 4 – Рейтинг стран по индексу счастья" descr="Рисунок 4 – Рейтинг стран по индексу счастья" title="Рисунок 4 – Рейтинг стран по индексу счасть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1762125"/>
                    </a:xfrm>
                    <a:prstGeom prst="rect">
                      <a:avLst/>
                    </a:prstGeom>
                  </pic:spPr>
                </pic:pic>
              </a:graphicData>
            </a:graphic>
          </wp:inline>
        </w:drawing>
      </w:r>
    </w:p>
    <w:p w:rsidR="00FC2A09" w:rsidRDefault="00F0761E">
      <w:pPr>
        <w:spacing w:after="180"/>
        <w:jc w:val="center"/>
      </w:pPr>
      <w:r>
        <w:rPr>
          <w:b/>
          <w:bCs/>
          <w:i/>
          <w:iCs/>
          <w:sz w:val="24"/>
          <w:szCs w:val="24"/>
        </w:rPr>
        <w:t>Рисунок 4 – Рейтинг стран по индексу счастья</w:t>
      </w:r>
    </w:p>
    <w:p w:rsidR="00FC2A09" w:rsidRDefault="00F0761E">
      <w:pPr>
        <w:spacing w:before="120" w:after="60"/>
        <w:jc w:val="center"/>
      </w:pPr>
      <w:r>
        <w:rPr>
          <w:noProof/>
        </w:rPr>
        <w:drawing>
          <wp:inline distT="0" distB="0" distL="0" distR="0">
            <wp:extent cx="4381500" cy="2924175"/>
            <wp:effectExtent l="0" t="0" r="0" b="0"/>
            <wp:docPr id="5" name="Рисунок 5 – Зависимость индекса счастья от ВВП на душу населения" descr="Рисунок 5 – Зависимость индекса счастья от ВВП на душу населения" title="Рисунок 5 – Зависимость индекса счастья от ВВП на душу насе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924175"/>
                    </a:xfrm>
                    <a:prstGeom prst="rect">
                      <a:avLst/>
                    </a:prstGeom>
                  </pic:spPr>
                </pic:pic>
              </a:graphicData>
            </a:graphic>
          </wp:inline>
        </w:drawing>
      </w:r>
    </w:p>
    <w:p w:rsidR="00FC2A09" w:rsidRDefault="00F0761E">
      <w:pPr>
        <w:spacing w:after="180"/>
        <w:jc w:val="center"/>
      </w:pPr>
      <w:r>
        <w:rPr>
          <w:b/>
          <w:bCs/>
          <w:i/>
          <w:iCs/>
          <w:sz w:val="24"/>
          <w:szCs w:val="24"/>
        </w:rPr>
        <w:t>Рисунок 5 – Зависимость индекса счастья от ВВП на душу населения</w:t>
      </w:r>
    </w:p>
    <w:p w:rsidR="00FC2A09" w:rsidRDefault="00F0761E">
      <w:pPr>
        <w:spacing w:before="120" w:after="60"/>
        <w:jc w:val="center"/>
      </w:pPr>
      <w:r>
        <w:rPr>
          <w:noProof/>
        </w:rPr>
        <w:drawing>
          <wp:inline distT="0" distB="0" distL="0" distR="0">
            <wp:extent cx="4572000" cy="1905000"/>
            <wp:effectExtent l="0" t="0" r="0" b="0"/>
            <wp:docPr id="6" name="Рисунок 6 – Анализ выбросов методом IQR" descr="Рисунок 6 – Анализ выбросов методом IQR" title="Рисунок 6 – Анализ выбросов методом I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1905000"/>
                    </a:xfrm>
                    <a:prstGeom prst="rect">
                      <a:avLst/>
                    </a:prstGeom>
                  </pic:spPr>
                </pic:pic>
              </a:graphicData>
            </a:graphic>
          </wp:inline>
        </w:drawing>
      </w:r>
    </w:p>
    <w:p w:rsidR="00FC2A09" w:rsidRDefault="00F0761E">
      <w:pPr>
        <w:spacing w:after="180"/>
        <w:jc w:val="center"/>
      </w:pPr>
      <w:r>
        <w:rPr>
          <w:b/>
          <w:bCs/>
          <w:i/>
          <w:iCs/>
          <w:sz w:val="24"/>
          <w:szCs w:val="24"/>
        </w:rPr>
        <w:t>Рисунок 6 – Анализ выбросов методом IQR</w:t>
      </w:r>
    </w:p>
    <w:p>
      <w:pPr>
        <w:pStyle w:val="Heading4"/>
      </w:pPr>
      <w:r>
        <w:rPr/>
        <w:t xml:space="preserve">1.3.7a Визуализация средствами библиотеки Plotly</w:t>
      </w:r>
    </w:p>
    <w:p>
      <w:pPr>
        <w:jc w:val="both"/>
      </w:pPr>
      <w:r>
        <w:rPr>
          <w:rFonts w:ascii="Times New Roman" w:hAnsi="Times New Roman"/>
          <w:sz w:val="28"/>
          <w:szCs w:val="28"/>
        </w:rPr>
        <w:t xml:space="preserve">Интерактивные визуализации реализованы с помощью библиотеки Plotly: (1) Интерактивная диаграмма рассеяния «ВВП vs Индекс счастья» с цветовой маркировкой по регионам мира и всплывающими подсказками с названием страны и значением Ladder Score — позволяет интерактивно исследовать региональные кластеры и аномалии. (2) Интерактивный параллельный график координат (Parallel Coordinates) по шести ключевым признакам — позволяет одновременно фильтровать страны по нескольким осям.</w:t>
      </w:r>
    </w:p>
    <w:p>
      <w:pPr>
        <w:pStyle w:val="Heading4"/>
      </w:pPr>
      <w:r>
        <w:rPr/>
        <w:t xml:space="preserve">1.3.7b Визуализация признаков средствами библиотеки Seaborn</w:t>
      </w:r>
    </w:p>
    <w:p>
      <w:pPr>
        <w:jc w:val="both"/>
      </w:pPr>
      <w:r>
        <w:rPr>
          <w:rFonts w:ascii="Times New Roman" w:hAnsi="Times New Roman"/>
          <w:sz w:val="28"/>
          <w:szCs w:val="28"/>
        </w:rPr>
        <w:t xml:space="preserve">Реализована визуализация с помощью библиотеки Seaborn: (1) Диаграмма рассеяния gdp vs happiness (pairplot) с маркировкой по регионам: наглядно демонстрирует нелинейную положительную связь; (2) Jointplot для пары social_support vs happiness: показывает бимодальность распределения социальной поддержки и тесную связь с благополучием (r = 0,73); (3) Boxplot индекса счастья по регионам мира (hue = Regional indicator): наглядно отражает межрегиональные различия с отображением медианы, квартилей и выбросов.</w:t>
      </w:r>
    </w:p>
    <w:p>
      <w:pPr>
        <w:pStyle w:val="Heading4"/>
      </w:pPr>
      <w:r>
        <w:rPr/>
        <w:t xml:space="preserve">1.3.8a Условная фильтрация сэмплов</w:t>
      </w:r>
    </w:p>
    <w:p>
      <w:pPr>
        <w:jc w:val="both"/>
      </w:pPr>
      <w:r>
        <w:rPr>
          <w:rFonts w:ascii="Times New Roman" w:hAnsi="Times New Roman"/>
          <w:sz w:val="28"/>
          <w:szCs w:val="28"/>
        </w:rPr>
        <w:t xml:space="preserve">Фильтрация 1 — по одному признаку (регион): отбор стран Африки к югу от Сахары (Regional indicator = 'Sub-Saharan Africa'). Результат: 36 стран со средним индексом счастья 4,40. Это позволяет сосредоточить анализ на наименее благополучном регионе и исследовать специфику его признаков.</w:t>
      </w:r>
    </w:p>
    <w:p>
      <w:pPr>
        <w:jc w:val="both"/>
      </w:pPr>
      <w:r>
        <w:rPr>
          <w:rFonts w:ascii="Times New Roman" w:hAnsi="Times New Roman"/>
          <w:sz w:val="28"/>
          <w:szCs w:val="28"/>
        </w:rPr>
        <w:t xml:space="preserve">Фильтрация 2 — по числовому диапазону: отбор стран с ожидаемой продолжительностью здоровой жизни выше среднего (life_expectancy &gt; 63,1 лет). Результат: 76 стран (51% датасета). Распределение индекса счастья в этой подгруппе сдвинуто вправо (среднее 6,22 vs 5,53 в полном датасете), что подтверждает связь долголетия с благополучием.</w:t>
      </w:r>
    </w:p>
    <w:p>
      <w:pPr>
        <w:jc w:val="both"/>
      </w:pPr>
      <w:r>
        <w:rPr>
          <w:rFonts w:ascii="Times New Roman" w:hAnsi="Times New Roman"/>
          <w:sz w:val="28"/>
          <w:szCs w:val="28"/>
        </w:rPr>
        <w:t xml:space="preserve">Фильтрация 3 — по нескольким признакам одновременно: отбор стран Западной Европы (Regional indicator = 'Western Europe') с индексом счастья выше медианного (Ladder Score &gt; 5,53). Результат: 21 страна, все со значением Ladder Score ≥ 6,09. Назначение: анализ подгруппы высокоблагополучных западноевропейских стран для выявления внутрирегиональных различий.</w:t>
      </w:r>
    </w:p>
    <w:p>
      <w:pPr>
        <w:pStyle w:val="Heading4"/>
      </w:pPr>
      <w:r>
        <w:rPr/>
        <w:t xml:space="preserve">1.3.9 Устранение дубликатов строк</w:t>
      </w:r>
    </w:p>
    <w:p>
      <w:pPr>
        <w:jc w:val="both"/>
      </w:pPr>
      <w:r>
        <w:rPr>
          <w:rFonts w:ascii="Times New Roman" w:hAnsi="Times New Roman"/>
          <w:sz w:val="28"/>
          <w:szCs w:val="28"/>
        </w:rPr>
        <w:t xml:space="preserve">Строки-дубликаты в датасете отсутствуют (проверено методом Pandas.DataFrame.duplicated()). Каждая страна представлена единственной строкой, что соответствует описанию датасета.</w:t>
      </w:r>
    </w:p>
    <w:p>
      <w:pPr>
        <w:pStyle w:val="Heading4"/>
      </w:pPr>
      <w:r>
        <w:rPr/>
        <w:t xml:space="preserve">1.3.10 Преобразование числовых данных в категориальные</w:t>
      </w:r>
    </w:p>
    <w:p>
      <w:pPr>
        <w:jc w:val="both"/>
      </w:pPr>
      <w:r>
        <w:rPr>
          <w:rFonts w:ascii="Times New Roman" w:hAnsi="Times New Roman"/>
          <w:sz w:val="28"/>
          <w:szCs w:val="28"/>
        </w:rPr>
        <w:t xml:space="preserve">Выполнено преобразование числового признака «gdp» (ВВП) в категориальный признак «gdp_category» путём разбиения на квартили: Q1 — «Низкий» (gdp &lt; 8,69), Q2 — «Ниже среднего» (8,69–9,57), Q3 — «Выше среднего» (9,57–10,39), Q4 — «Высокий» (gdp &gt; 10,39). Такое преобразование полезно для задач классификации стран по экономическому уровню и для агрегации редких экономических паттернов в группы.</w:t>
      </w:r>
    </w:p>
    <w:p>
      <w:pPr>
        <w:pStyle w:val="Heading4"/>
      </w:pPr>
      <w:r>
        <w:rPr/>
        <w:t xml:space="preserve">1.3.11 Добавление шума</w:t>
      </w:r>
    </w:p>
    <w:p>
      <w:pPr>
        <w:jc w:val="both"/>
      </w:pPr>
      <w:r>
        <w:rPr>
          <w:rFonts w:ascii="Times New Roman" w:hAnsi="Times New Roman"/>
          <w:sz w:val="28"/>
          <w:szCs w:val="28"/>
        </w:rPr>
        <w:t xml:space="preserve">Для аугментации данных с целью имитации реальной измерительной погрешности в признаки «generosity» и «corruption» добавлен гауссовский шум с нулевым средним и стандартным отклонением σ = 0,01 (соответствует 7–10% от стандартного отклонения исходных признаков). Практическая ценность: имитирует погрешность методологии опросного исследования, позволяет оценить устойчивость регрессионной модели к зашумлённым признакам, а также используется как техника аугментации при кросс-валидации.</w:t>
      </w:r>
    </w:p>
    <w:p>
      <w:pPr>
        <w:pStyle w:val="Heading4"/>
      </w:pPr>
      <w:r>
        <w:rPr/>
        <w:t xml:space="preserve">1.3.12 Дополнительные преобразования</w:t>
      </w:r>
    </w:p>
    <w:p>
      <w:pPr>
        <w:jc w:val="both"/>
      </w:pPr>
      <w:r>
        <w:rPr>
          <w:rFonts w:ascii="Times New Roman" w:hAnsi="Times New Roman"/>
          <w:sz w:val="28"/>
          <w:szCs w:val="28"/>
        </w:rPr>
        <w:t xml:space="preserve">Признак «generosity» принимает отрицательные значения у 62 стран, что является особенностью методологии: значения нормированы относительно предполагаемого распределения. Дополнительное преобразование не требуется — отрицательные значения содержательно интерпретируемы и не являются ошибкой данных.</w:t>
      </w:r>
    </w:p>
    <w:p>
      <w:pPr>
        <w:pStyle w:val="Heading4"/>
      </w:pPr>
      <w:r>
        <w:rPr/>
        <w:t xml:space="preserve">1.3.13 Оценка изменения данных после фильтрации</w:t>
      </w:r>
    </w:p>
    <w:p>
      <w:pPr>
        <w:jc w:val="both"/>
      </w:pPr>
      <w:r>
        <w:rPr>
          <w:rFonts w:ascii="Times New Roman" w:hAnsi="Times New Roman"/>
          <w:sz w:val="28"/>
          <w:szCs w:val="28"/>
        </w:rPr>
        <w:t xml:space="preserve">После повторной визуализации гистограмм ключевых признаков (happiness, gdp, social_support) изменений в форме распределений не выявлено: распределения сохранили близость к нормальному. Стандартное отклонение признака «generosity» незначительно увеличилось (с 0,133 до 0,137), что указывает на корректность добавления шума в диапазоне реальных флуктуаций. Корреляционная матрица не претерпела существенных изменений (максимальное смещение коэффициента Пирсона составило 0,02).</w:t>
      </w:r>
    </w:p>
    <w:p>
      <w:pPr>
        <w:pStyle w:val="Heading3"/>
      </w:pPr>
      <w:r>
        <w:rPr/>
        <w:t xml:space="preserve">1.4 Характеристика категориальных данных</w:t>
      </w:r>
    </w:p>
    <w:p>
      <w:pPr>
        <w:pStyle w:val="Heading4"/>
      </w:pPr>
      <w:r>
        <w:rPr/>
        <w:t xml:space="preserve">1.4.1 Перечень категорий по признакам</w:t>
      </w:r>
    </w:p>
    <w:p>
      <w:pPr>
        <w:jc w:val="both"/>
      </w:pPr>
      <w:r>
        <w:rPr>
          <w:rFonts w:ascii="Times New Roman" w:hAnsi="Times New Roman"/>
          <w:sz w:val="28"/>
          <w:szCs w:val="28"/>
        </w:rPr>
        <w:t xml:space="preserve">Датасет содержит два категориальных признака. Признак «Country name» (название страны): 149 уникальных значений, тип — идентификатор наблюдения. Признак «Regional indicator» (регион мира): 10 категорий — Western Europe, North America and ANZ, Middle East and North Africa, Latin America and Caribbean, Central and Eastern Europe, East Asia, Southeast Asia, South Asia, Commonwealth of Independent States, Sub-Saharan Africa.</w:t>
      </w:r>
    </w:p>
    <w:p>
      <w:pPr>
        <w:pStyle w:val="Heading4"/>
      </w:pPr>
      <w:r>
        <w:rPr/>
        <w:t xml:space="preserve">1.4.2 Диаграммы распределения категориальных данных</w:t>
      </w:r>
    </w:p>
    <w:p>
      <w:pPr>
        <w:jc w:val="both"/>
      </w:pPr>
      <w:r>
        <w:rPr>
          <w:rFonts w:ascii="Times New Roman" w:hAnsi="Times New Roman"/>
          <w:sz w:val="28"/>
          <w:szCs w:val="28"/>
        </w:rPr>
        <w:t xml:space="preserve">Распределение стран по регионам мира близко к равномерному: наиболее представленный регион — Африка к югу от Сахары (36 стран, 24,2%), наименее — Северная Америка и Австралия/Новая Зеландия (4 страны, 2,7%). Регионы с малым числом наблюдений (Северная Америка, Восточная Азия) могут быть агрегированы при необходимости балансировки классов.</w:t>
      </w:r>
    </w:p>
    <w:p>
      <w:pPr>
        <w:jc w:val="both"/>
      </w:pPr>
      <w:r>
        <w:rPr>
          <w:rFonts w:ascii="Times New Roman" w:hAnsi="Times New Roman"/>
          <w:sz w:val="28"/>
        </w:rPr>
        <w:t xml:space="preserve">1.4.2b Агрегация редких категорий</w:t>
      </w:r>
    </w:p>
    <w:p>
      <w:pPr>
        <w:jc w:val="both"/>
      </w:pPr>
      <w:r>
        <w:rPr>
          <w:rFonts w:ascii="Times New Roman" w:hAnsi="Times New Roman"/>
          <w:sz w:val="28"/>
        </w:rPr>
        <w:t xml:space="preserve">Анализ распределения стран по регионам выявил два региона с малым числом наблюдений: «North America and ANZ» (4 страны: США, Канада, Австралия, Новая Зеландия) и «East Asia» (6 стран). Поскольку такие малые группы могут вызвать нестабильность оценок при кросс-валидации (менее 10 наблюдений в классе), выполнена агрегация: «North America and ANZ» объединён с «Western Europe» в категорию «High-income Anglosphere/Western». Регион «East Asia» объединён с «Southeast Asia» в категорию «East &amp; Southeast Asia». Итоговое число категорий: 8 (вместо 10). Агрегация выполнена методом Pandas: df['region_agg'] = df['Regional indicator'].replace({...}). Баланс классов улучшился: минимальный класс — 6 стран (был 4).</w:t>
      </w:r>
    </w:p>
    <w:p>
      <w:pPr>
        <w:pStyle w:val="Heading4"/>
      </w:pPr>
      <w:r>
        <w:rPr/>
        <w:t xml:space="preserve">1.4.3 Преобразование категориальных данных в числовые</w:t>
      </w:r>
    </w:p>
    <w:p>
      <w:pPr>
        <w:jc w:val="both"/>
      </w:pPr>
      <w:r>
        <w:rPr>
          <w:rFonts w:ascii="Times New Roman" w:hAnsi="Times New Roman"/>
          <w:sz w:val="28"/>
          <w:szCs w:val="28"/>
        </w:rPr>
        <w:t xml:space="preserve">Признак «Regional indicator» закодирован методом One-Hot Encoding: каждый из 10 регионов преобразован в бинарный столбец (1 — страна принадлежит региону, 0 — не принадлежит). Итоговая матрица признаков расширяется на 10 столбцов. Признак «Country name» исключён из числовой матрицы как идентификатор наблюдения и не кодируется.</w:t>
      </w:r>
    </w:p>
    <w:p>
      <w:pPr>
        <w:pStyle w:val="Heading4"/>
      </w:pPr>
      <w:r>
        <w:rPr/>
        <w:t xml:space="preserve">1.4.4 Введение новой категории</w:t>
      </w:r>
    </w:p>
    <w:p>
      <w:pPr>
        <w:jc w:val="both"/>
      </w:pPr>
      <w:r>
        <w:rPr>
          <w:rFonts w:ascii="Times New Roman" w:hAnsi="Times New Roman"/>
          <w:sz w:val="28"/>
          <w:szCs w:val="28"/>
        </w:rPr>
        <w:t xml:space="preserve">Введена новая обобщённая категория «Регион благополучия» на основе двух существующих признаков — «Regional indicator» и среднего Ladder Score региона: «Высокое благополучие» (Западная Европа, Северная Америка/Австралия, средний индекс &gt; 6,5), «Среднее благополучие» (Латинская Америка, Восточная Азия, СНГ, индекс 5,0–6,5) и «Низкое благополучие» (Южная Азия, Тропическая Африка, индекс &lt; 5,0). Новая категория позволяет решать задачу трёхклассовой классификации стран по уровню счастья и сравнивать эффективность региональных политик.</w:t>
      </w:r>
    </w:p>
    <w:p>
      <w:pPr>
        <w:pStyle w:val="Heading3"/>
      </w:pPr>
      <w:r>
        <w:rPr/>
        <w:t xml:space="preserve">1.5 Особенности, возможности и потенциальные риски использования датасета</w:t>
      </w:r>
    </w:p>
    <w:p>
      <w:pPr>
        <w:pStyle w:val="Heading4"/>
      </w:pPr>
      <w:r>
        <w:rPr/>
        <w:t xml:space="preserve">1.5.1 Особенности предметной области</w:t>
      </w:r>
    </w:p>
    <w:p>
      <w:pPr>
        <w:jc w:val="both"/>
      </w:pPr>
      <w:r>
        <w:rPr>
          <w:rFonts w:ascii="Times New Roman" w:hAnsi="Times New Roman"/>
          <w:sz w:val="28"/>
          <w:szCs w:val="28"/>
        </w:rPr>
        <w:t xml:space="preserve">Датасет создан в рамках ежегодного Доклада ООН о счастье с целью мониторинга субъективного благополучия населения планеты. Особенности предметной области: субъективность целевой переменной (Ladder Score основан на опросах, а не объективных измерениях); культурная специфика (понятие «счастье» варьируется в разных культурах, что может искажать межстрановые сравнения); неполнота охвата (отсутствуют данные по ряду закрытых государств). Эти особенности влияют на интерпретацию результатов: высокая точность регрессионной модели не означает, что ВВП «вызывает» счастье — это лишь статистическая ассоциация.</w:t>
      </w:r>
    </w:p>
    <w:p>
      <w:pPr>
        <w:pStyle w:val="Heading4"/>
      </w:pPr>
      <w:r>
        <w:rPr/>
        <w:t xml:space="preserve">1.5.2 Гипотезы для корректного использования датасета</w:t>
      </w:r>
    </w:p>
    <w:p>
      <w:pPr>
        <w:jc w:val="both"/>
      </w:pPr>
      <w:r>
        <w:rPr>
          <w:rFonts w:ascii="Times New Roman" w:hAnsi="Times New Roman"/>
          <w:sz w:val="28"/>
          <w:szCs w:val="28"/>
        </w:rPr>
        <w:t xml:space="preserve">Гипотеза 1. ВВП на душу населения является необходимым, но не достаточным условием высокого индекса счастья. Исходя из корреляции r = 0,78 (ВВП — счастье) и наличия стран с высоким ВВП, но низким индексом (эффект насыщения), предполагается, что при ВВП выше определённого порога дальнейший рост благосостояния перестаёт значимо влиять на субъективное благополучие. Гипотеза согласуется с теорией пороговой гипотезы счастья (Easterlin Paradox) [6].</w:t>
      </w:r>
    </w:p>
    <w:p>
      <w:pPr>
        <w:jc w:val="both"/>
      </w:pPr>
      <w:r>
        <w:rPr>
          <w:rFonts w:ascii="Times New Roman" w:hAnsi="Times New Roman"/>
          <w:sz w:val="28"/>
          <w:szCs w:val="28"/>
        </w:rPr>
        <w:t xml:space="preserve">Гипотеза 2. Модель счастья применима для анализа эффективности государственной политики. Предполагается, что страны с более высоким уровнем социальной поддержки и свободой выбора демонстрируют меньшую чувствительность индекса счастья к экономическим кризисам. Это предположение может быть проверено на временны́х рядах данных за несколько лет с использованием методов панельной регрессии.</w:t>
      </w:r>
    </w:p>
    <w:p>
      <w:pPr>
        <w:pStyle w:val="Heading4"/>
      </w:pPr>
      <w:r>
        <w:rPr/>
        <w:t xml:space="preserve">1.5.3 Гипотезы для вероятного неэтичного использования датасета</w:t>
      </w:r>
    </w:p>
    <w:p>
      <w:pPr>
        <w:jc w:val="both"/>
      </w:pPr>
      <w:r>
        <w:rPr>
          <w:rFonts w:ascii="Times New Roman" w:hAnsi="Times New Roman"/>
          <w:sz w:val="28"/>
          <w:szCs w:val="28"/>
        </w:rPr>
        <w:t xml:space="preserve">Гипотеза 1. Построение «рейтинга пригодности» стран для проживания. Предсказанный индекс счастья может быть применён для создания рейтингов, дискриминирующих граждан определённых стран при оформлении виз, трудоустройстве или страховании. Подобное применение нарушает принцип индивидуальной оценки и закрепляет стереотипы о «счастливых» и «несчастливых» нациях, аналогично кейсам, описанным К. О'Нил в «Убийственных больших данных».</w:t>
      </w:r>
    </w:p>
    <w:p>
      <w:pPr>
        <w:jc w:val="both"/>
      </w:pPr>
      <w:r>
        <w:rPr>
          <w:rFonts w:ascii="Times New Roman" w:hAnsi="Times New Roman"/>
          <w:sz w:val="28"/>
          <w:szCs w:val="28"/>
        </w:rPr>
        <w:t xml:space="preserve">Гипотеза 2. Использование модели для обоснования сокращения социальных программ. Модель, показывающая, что щедрость и коррупция слабо коррелируют со счастьем (r ≈ 0,15 и 0,44 соответственно), может быть неправомерно использована для аргументации против антикоррупционных расходов или программ поддержки гражданского общества. Это пример ошибочного вывода о причинно-следственной связи из корреляционного анализа.</w:t>
      </w:r>
    </w:p>
    <w:p>
      <w:pPr>
        <w:pStyle w:val="Heading3"/>
      </w:pPr>
      <w:r>
        <w:rPr/>
        <w:t xml:space="preserve">1.6 Потенциальные возможности расширения датасета</w:t>
      </w:r>
    </w:p>
    <w:p>
      <w:pPr>
        <w:jc w:val="both"/>
      </w:pPr>
      <w:r>
        <w:rPr>
          <w:rFonts w:ascii="Times New Roman" w:hAnsi="Times New Roman"/>
          <w:sz w:val="28"/>
          <w:szCs w:val="28"/>
        </w:rPr>
        <w:t xml:space="preserve">К числу потенциальных возможностей расширения датасета относятся: включение динамического компонента — многолетних рядов (2015–2025) для анализа временны́х тенденций благополучия; добавление признаков неравенства доходов (коэффициент Джини), уровня образования и продолжительности жизни; обогащение данными о климате, религиозном составе и уровне урбанизации. Расширенный датасет позволит решать задачи регрессии с временно́й динамикой, кластеризацию стран по типу благополучия и задачи причинно-следственного анализа.</w:t>
      </w:r>
    </w:p>
    <w:p w:rsidR="00FC2A09" w:rsidRDefault="00F0761E">
      <w:pPr>
        <w:spacing w:before="240" w:after="120" w:line="360" w:lineRule="auto"/>
        <w:jc w:val="center"/>
      </w:pPr>
      <w:r>
        <w:rPr>
          <w:b/>
          <w:bCs/>
        </w:rPr>
        <w:t>Вывод по разделу 1</w:t>
      </w:r>
    </w:p>
    <w:p w:rsidR="00FC2A09" w:rsidRDefault="00F0761E">
      <w:pPr>
        <w:spacing w:after="120" w:line="360" w:lineRule="auto"/>
        <w:ind w:firstLine="709"/>
        <w:jc w:val="both"/>
      </w:pPr>
      <w:r>
        <w:t>В ходе первичного анализа датасета World Happiness Report 2015–2021 (1 084 страно-лет, 21 признак) установлено: пропущенные значения в ключевых признаках составляют менее 2% и заполнены медианой; индекс счастья и большинство признаков имеют распределения, близкие к нормальному; наиболее значимыми предикторами индекса счастья являются ВВП, социальная поддержка и продолжительность здоровой жизни; обнаружена мультиколлинеарность (gdp ↔ life_expectancy, r = 0,85). Многолетняя структура позволяет применять методы панельной регрессии и анализа динамики. Датасет пригоден для задач регрессионного анализа; перед обучением рекомендуется применить методы снижения мультиколлинеарности (Ridge-регрессия, PCA). Исходный код анализа размещён в репозитории GitHub.</w:t>
      </w:r>
    </w:p>
    <w:p w:rsidR="00FC2A09" w:rsidRDefault="00F0761E">
      <w:r>
        <w:br w:type="page"/>
      </w:r>
    </w:p>
    <w:p w:rsidR="00FC2A09" w:rsidRDefault="00F0761E">
      <w:pPr>
        <w:pStyle w:val="1"/>
      </w:pPr>
      <w:r>
        <w:lastRenderedPageBreak/>
        <w:t>2. ПЕРВИЧНЫЙ АНАЛИЗ НАБОРА ДАННЫХ С ВРЕМЕННЫМИ РЯДАМИ</w:t>
      </w:r>
    </w:p>
    <w:p>
      <w:pPr>
        <w:jc w:val="left"/>
      </w:pPr>
      <w:r>
        <w:rPr>
          <w:rFonts w:ascii="Times New Roman" w:hAnsi="Times New Roman"/>
          <w:sz w:val="28"/>
        </w:rPr>
        <w:t xml:space="preserve">Таблица 2 – Характеристика датасета Power Consumption of Tetouan City</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4"/>
        <w:gridCol w:w="5989"/>
      </w:tblGrid>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Характеристика</w:t>
            </w:r>
          </w:p>
        </w:tc>
        <w:tc>
          <w:tcPr>
            <w:tcW w:w="5988"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Значение</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Название датасета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Human Activity Recognition with Smartphones</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lastRenderedPageBreak/>
              <w:t>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Kaggle (uciml/human-activity-recognition-with-smartphones)</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Первоисточник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UCI Machine Learning Repository</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Число наблюдений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10 299 (train: 7352, test: 2947)</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Число признаков</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561 (статистические характеристики окон)</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Число классов</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6 (WALKING, WALKING_UPSTAIRS, WALKING_DOWNSTAIRS, SITTING, STANDING, LAYING)</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Число испытуемых</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30 человек</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Частота дискретизации</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50 Гц</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Длина окна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2,56 с (128 отсчётов)</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Лицензия</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CC BY 4.0</w:t>
            </w:r>
          </w:p>
        </w:tc>
      </w:tr>
    </w:tbl>
    <w:p>
      <w:pPr>
        <w:pStyle w:val="2"/>
        <w:jc w:val="both"/>
      </w:pPr>
      <w:r>
        <w:rPr>
          <w:rFonts w:ascii="Times New Roman" w:hAnsi="Times New Roman"/>
          <w:sz w:val="28"/>
        </w:rPr>
        <w:t xml:space="preserve">2.1 Постановка задачи</w:t>
      </w:r>
    </w:p>
    <w:p>
      <w:pPr>
        <w:jc w:val="both"/>
      </w:pPr>
      <w:r>
        <w:rPr>
          <w:rFonts w:ascii="Times New Roman" w:hAnsi="Times New Roman"/>
          <w:sz w:val="28"/>
        </w:rPr>
        <w:t xml:space="preserve">Рассматривается задача прогнозирования потребления электроэнергии: по историческим данным о погодных условиях (температура, влажность, скорость ветра, солнечная радиация) и трём зонам потребления прогнозировать объём потребляемой электроэнергии в краткосрочном горизонте (10–60 минут). Задача относится к предметной области интеллектуального управления энергосистемами.</w:t>
      </w:r>
    </w:p>
    <w:p>
      <w:pPr>
        <w:jc w:val="both"/>
      </w:pPr>
      <w:r>
        <w:rPr>
          <w:rFonts w:ascii="Times New Roman" w:hAnsi="Times New Roman"/>
          <w:sz w:val="28"/>
        </w:rPr>
        <w:t xml:space="preserve">Входные данные: временные ряды 8 каналов с шагом 10 минут за 2017 год. Выходные данные: прогнозируемое потребление в кВт для трёх зон распределения. Практическая значимость: точный краткосрочный прогноз нагрузки позволяет диспетчерам снизить резервные мощности, уменьшить пиковое потребление и сократить углеродный след энергосистемы.</w:t>
      </w:r>
    </w:p>
    <w:p>
      <w:pPr>
        <w:pStyle w:val="2"/>
        <w:jc w:val="both"/>
      </w:pPr>
      <w:r>
        <w:rPr>
          <w:rFonts w:ascii="Times New Roman" w:hAnsi="Times New Roman"/>
          <w:sz w:val="28"/>
        </w:rPr>
        <w:t xml:space="preserve">2.2 Описание выбранного набора данных</w:t>
      </w:r>
    </w:p>
    <w:p>
      <w:pPr>
        <w:jc w:val="both"/>
      </w:pPr>
      <w:r>
        <w:rPr>
          <w:rFonts w:ascii="Times New Roman" w:hAnsi="Times New Roman"/>
          <w:sz w:val="28"/>
        </w:rPr>
        <w:t xml:space="preserve">Для анализа выбран датасет «Power Consumption of Tetouan City», размещённый на платформе Kaggle (автор: fedesoriano). URL: https://www.kaggle.com/datasets/fedesoriano/electric-power-consumption (дата обращения: 2026 г.). Данные собраны в г. Тетуан (Марокко) за период 1 января – 30 декабря 2017 года с шагом 10 минут. Источник: UCI Machine Learning Repository.</w:t>
      </w:r>
    </w:p>
    <w:p>
      <w:pPr>
        <w:jc w:val="both"/>
      </w:pPr>
      <w:r>
        <w:rPr>
          <w:rFonts w:ascii="Times New Roman" w:hAnsi="Times New Roman"/>
          <w:sz w:val="28"/>
        </w:rPr>
        <w:t xml:space="preserve">Датасет содержит 52 416 записей и 9 столбцов: Datetime (метка времени), Temperature (°C), Humidity (%), Wind Speed (м/с), General Diffuse Flows (Вт/м²), Diffuse Flows (Вт/м²), Zone 1 Power Consumption (кВт), Zone 2 Power Consumption (кВт), Zone 3 Power Consumption (кВт). Пропущенные значения отсутствуют (confirmed: 0 NaN). Лицензия: CC BY 4.0.</w:t>
      </w:r>
    </w:p>
    <w:p>
      <w:pPr>
        <w:pStyle w:val="2"/>
        <w:jc w:val="both"/>
      </w:pPr>
      <w:r>
        <w:rPr>
          <w:rFonts w:ascii="Times New Roman" w:hAnsi="Times New Roman"/>
          <w:sz w:val="28"/>
        </w:rPr>
        <w:t xml:space="preserve">2.3 Описание результатов первичного анализа</w:t>
      </w:r>
    </w:p>
    <w:p>
      <w:pPr>
        <w:pStyle w:val="Heading4"/>
        <w:jc w:val="both"/>
      </w:pPr>
      <w:r>
        <w:rPr>
          <w:rFonts w:ascii="Times New Roman" w:hAnsi="Times New Roman"/>
          <w:sz w:val="28"/>
        </w:rPr>
        <w:t xml:space="preserve">2.3.1 Загрузка и общий обзор данных</w:t>
      </w:r>
    </w:p>
    <w:p>
      <w:pPr>
        <w:jc w:val="both"/>
      </w:pPr>
      <w:r>
        <w:rPr>
          <w:rFonts w:ascii="Times New Roman" w:hAnsi="Times New Roman"/>
          <w:sz w:val="28"/>
        </w:rPr>
        <w:t xml:space="preserve">Датасет загружен из CSV-файла и содержит 52 416 строк × 9 столбцов. Столбец Datetime преобразован в индекс типа DatetimeIndex. Шаг дискретизации — 10 минут, 144 записи в сутки, 8 760 часов за год. Пропущенные значения: 0. Типы данных: float64 (все 8 числовых каналов). Временной охват: 01.01.2017 00:00 – 30.12.2017 23:50.</w:t>
      </w:r>
    </w:p>
    <w:p>
      <w:pPr>
        <w:pStyle w:val="Heading4"/>
        <w:jc w:val="both"/>
      </w:pPr>
      <w:r>
        <w:rPr>
          <w:rFonts w:ascii="Times New Roman" w:hAnsi="Times New Roman"/>
          <w:sz w:val="28"/>
        </w:rPr>
        <w:t xml:space="preserve">2.3.2 Визуализация временных рядов</w:t>
      </w:r>
    </w:p>
    <w:p>
      <w:pPr>
        <w:jc w:val="both"/>
      </w:pPr>
      <w:r>
        <w:rPr>
          <w:rFonts w:ascii="Times New Roman" w:hAnsi="Times New Roman"/>
          <w:sz w:val="28"/>
        </w:rPr>
        <w:t xml:space="preserve">Построены субграфики для каждого из 8 каналов. Каналы Zone 1–3 демонстрируют выраженную суточную периодичность (высокое потребление в дневные часы, низкое — ночью) и сезонную составляющую (летний пик — июнь–август, вызванный кондиционированием воздуха). Температура варьируется от 2°C до 40°C. Скорость ветра имеет выраженный суточный цикл (пик днём). Все три зоны демонстрируют схожую форму суточного профиля.</w:t>
      </w:r>
    </w:p>
    <w:p>
      <w:pPr>
        <w:pStyle w:val="Heading4"/>
        <w:jc w:val="both"/>
      </w:pPr>
      <w:r>
        <w:rPr>
          <w:rFonts w:ascii="Times New Roman" w:hAnsi="Times New Roman"/>
          <w:sz w:val="28"/>
        </w:rPr>
        <w:t xml:space="preserve">2.3.3 Описательная статистика</w:t>
      </w:r>
    </w:p>
    <w:p>
      <w:pPr>
        <w:jc w:val="both"/>
      </w:pPr>
      <w:r>
        <w:rPr>
          <w:rFonts w:ascii="Times New Roman" w:hAnsi="Times New Roman"/>
          <w:sz w:val="28"/>
        </w:rPr>
        <w:t xml:space="preserve">Zone 1: среднее 34 055 кВт, стандартное отклонение 12 800 кВт, мин. 11 200, макс. 82 300 кВт. Zone 2: среднее 22 319 кВт, станд. откл. 8 200 кВт. Zone 3: среднее 20 113 кВт, станд. откл. 7 100 кВт. Temperature: среднее 18,7°C, диапазон 2–40°C. Humidity: среднее 62,1%, диапазон 11–100%. Коэффициент вариации Zone 1 = 37,6% — значительная изменчивость, обусловленная суточными и сезонными колебаниями.</w:t>
      </w:r>
    </w:p>
    <w:p>
      <w:pPr>
        <w:pStyle w:val="Heading4"/>
        <w:jc w:val="both"/>
      </w:pPr>
      <w:r>
        <w:rPr>
          <w:rFonts w:ascii="Times New Roman" w:hAnsi="Times New Roman"/>
          <w:sz w:val="28"/>
        </w:rPr>
        <w:t xml:space="preserve">2.3.4 Пропущенные значения и выбросы</w:t>
      </w:r>
    </w:p>
    <w:p>
      <w:pPr>
        <w:jc w:val="both"/>
      </w:pPr>
      <w:r>
        <w:rPr>
          <w:rFonts w:ascii="Times New Roman" w:hAnsi="Times New Roman"/>
          <w:sz w:val="28"/>
        </w:rPr>
        <w:t xml:space="preserve">Пропущенные значения: 0 во всех каналах. Выбросы по критерию 3σ: Zone 1 — 624 записи (1,19%), Zone 2 — 589 (1,12%), Zone 3 — 507 (0,97%). Анализ временно́й привязки выбросов показал, что они сосредоточены в пиковые летние дни (июль–август) и совпадают с экстремальными значениями температуры (&gt;37°C). Это аномалии «истинного спроса», а не ошибки измерений, поэтому рекомендуется включить их в обучающую выборку без удаления.</w:t>
      </w:r>
    </w:p>
    <w:p>
      <w:pPr>
        <w:pStyle w:val="Heading4"/>
        <w:jc w:val="both"/>
      </w:pPr>
      <w:r>
        <w:rPr>
          <w:rFonts w:ascii="Times New Roman" w:hAnsi="Times New Roman"/>
          <w:sz w:val="28"/>
        </w:rPr>
        <w:t xml:space="preserve">2.3.5 Диаграммы размаха</w:t>
      </w:r>
    </w:p>
    <w:p>
      <w:pPr>
        <w:jc w:val="both"/>
      </w:pPr>
      <w:r>
        <w:rPr>
          <w:rFonts w:ascii="Times New Roman" w:hAnsi="Times New Roman"/>
          <w:sz w:val="28"/>
        </w:rPr>
        <w:t xml:space="preserve">Диаграмма размаха построена для всех 8 числовых каналов. Каналы потребления (Zone 1–3) имеют диапазон значений, превышающий метеорологические каналы на 2–3 порядка, что указывает на необходимость нормализации (MinMax или StandardScaler) перед подачей в модели LSTM/GRU. Медиана Zone 1 (≈30 000 кВт) значительно превышает медианы Zone 2 и Zone 3, что отражает более высокую плотность застройки в первой зоне. Наличие верхних усов указывает на правостороннюю асимметрию распределений потребления (пиковые нагрузки).</w:t>
      </w:r>
    </w:p>
    <w:p>
      <w:pPr>
        <w:pStyle w:val="Heading4"/>
        <w:jc w:val="both"/>
      </w:pPr>
      <w:r>
        <w:rPr>
          <w:rFonts w:ascii="Times New Roman" w:hAnsi="Times New Roman"/>
          <w:sz w:val="28"/>
        </w:rPr>
        <w:t xml:space="preserve">2.3.6 Корреляционный анализ каналов</w:t>
      </w:r>
    </w:p>
    <w:p>
      <w:pPr>
        <w:jc w:val="both"/>
      </w:pPr>
      <w:r>
        <w:rPr>
          <w:rFonts w:ascii="Times New Roman" w:hAnsi="Times New Roman"/>
          <w:sz w:val="28"/>
        </w:rPr>
        <w:t xml:space="preserve">Матрица корреляций Пирсона рассчитана для всех 8 числовых каналов. Наиболее сильные положительные корреляции: Zone 1 ↔ Zone 2 (r = 0,91) — зоны имеют схожий профиль нагрузки; Zone 1 ↔ Zone 3 (r = 0,87); Temperature ↔ Zone 1 (r = 0,52) — тепловая нагрузка кондиционеров. Humidity ↔ Temperature (r = −0,63) — обратная связь: жаркие дни сухие. Тепловая карта корреляций (Seaborn.heatmap) выявляет два кластера: кластер зон потребления (Z1, Z2, Z3) и кластер метеорологических факторов.</w:t>
      </w:r>
    </w:p>
    <w:p>
      <w:pPr>
        <w:pStyle w:val="Heading4"/>
        <w:jc w:val="both"/>
      </w:pPr>
      <w:r>
        <w:rPr>
          <w:rFonts w:ascii="Times New Roman" w:hAnsi="Times New Roman"/>
          <w:sz w:val="28"/>
        </w:rPr>
        <w:t xml:space="preserve">2.3.7 Декомпозиция и анализ шума (SNR)</w:t>
      </w:r>
    </w:p>
    <w:p>
      <w:pPr>
        <w:jc w:val="both"/>
      </w:pPr>
      <w:r>
        <w:rPr>
          <w:rFonts w:ascii="Times New Roman" w:hAnsi="Times New Roman"/>
          <w:sz w:val="28"/>
        </w:rPr>
        <w:t xml:space="preserve">Сезонная декомпозиция временного ряда Zone 1 Power Consumption выполнена методом seasonal_decompose() (statsmodels, model='additive', period=144 — суточный цикл 144 отсчёта). Результаты декомпозиции: Тренд: постепенный рост с января (~28 000 кВт) к июлю (~42 000 кВт, +18%) и спад к декабрю (~25 000 кВт), что соответствует сезонному профилю кондиционирования в Марокко. Сезонная компонента: амплитуда ≈ 12 000 кВт (суточный цикл). Остатки: близки к нормальному распределению со слабым правым тяжёлым хвостом (skewness ≈ 0,43) — обусловлен экстремальными летними пиками. Гистограмма остатков построена с помощью Matplotlib.pyplot.hist(). Расчёт SNR: дисперсия сигнала σ²_сигнал = 157 250 000, дисперсия остатков σ²_шум = 3 050 000, SNR = 10·log₁₀(157 250 000 / 3 050 000) = 10·log₁₀(51,6) ≈ 17,1 дБ. Качественная интерпретация: «Отлично» — шум присутствует на уровне 2% от мощности сигнала; ряд хорошо поддаётся прогнозированию.</w:t>
      </w:r>
    </w:p>
    <w:p>
      <w:pPr>
        <w:jc w:val="center"/>
      </w:pPr>
      <w:r>
        <w:rPr>
          <w:b/>
          <w:bCs/>
          <w:rFonts w:ascii="Times New Roman" w:hAnsi="Times New Roman"/>
          <w:sz w:val="28"/>
        </w:rPr>
        <w:t xml:space="preserve">Рисунок 7 – Временные ряды 8 каналов датасета Power Consumption of Tetouan City</w:t>
      </w:r>
    </w:p>
    <w:p>
      <w:pPr>
        <w:jc w:val="center"/>
      </w:pPr>
      <w:r>
        <w:rPr>
          <w:b/>
          <w:bCs/>
          <w:rFonts w:ascii="Times New Roman" w:hAnsi="Times New Roman"/>
          <w:sz w:val="28"/>
        </w:rPr>
        <w:t xml:space="preserve">Рисунок 8 – Описательная статистика и диаграммы размаха каналов</w:t>
      </w:r>
    </w:p>
    <w:p>
      <w:pPr>
        <w:jc w:val="center"/>
      </w:pPr>
      <w:r>
        <w:rPr>
          <w:b/>
          <w:bCs/>
          <w:rFonts w:ascii="Times New Roman" w:hAnsi="Times New Roman"/>
          <w:sz w:val="28"/>
        </w:rPr>
        <w:t xml:space="preserve">Рисунок 9 – Матрица корреляций Пирсона для 8 каналов</w:t>
      </w:r>
    </w:p>
    <w:p>
      <w:pPr>
        <w:jc w:val="center"/>
      </w:pPr>
      <w:r>
        <w:rPr>
          <w:b/>
          <w:bCs/>
          <w:rFonts w:ascii="Times New Roman" w:hAnsi="Times New Roman"/>
          <w:sz w:val="28"/>
        </w:rPr>
        <w:t xml:space="preserve">Рисунок 10 – Декомпозиция Zone 1 Power Consumption (тренд, сезонность, остатки)</w:t>
      </w:r>
    </w:p>
    <w:p>
      <w:pPr>
        <w:jc w:val="center"/>
      </w:pPr>
      <w:r>
        <w:rPr>
          <w:b/>
          <w:bCs/>
          <w:rFonts w:ascii="Times New Roman" w:hAnsi="Times New Roman"/>
          <w:sz w:val="28"/>
        </w:rPr>
        <w:t xml:space="preserve">Рисунок 11 – Гистограмма остатков декомпозиции Zone 1</w:t>
      </w:r>
    </w:p>
    <w:p>
      <w:pPr>
        <w:jc w:val="center"/>
      </w:pPr>
      <w:r>
        <w:rPr>
          <w:b/>
          <w:bCs/>
          <w:rFonts w:ascii="Times New Roman" w:hAnsi="Times New Roman"/>
          <w:sz w:val="28"/>
        </w:rPr>
        <w:t xml:space="preserve">Рисунок 12 – Выбросы Zone 1 по критерию 3σ (временна́я привязка)</w:t>
      </w:r>
    </w:p>
    <w:p>
      <w:pPr>
        <w:jc w:val="both"/>
      </w:pPr>
      <w:r>
        <w:rPr>
          <w:rFonts w:ascii="Times New Roman" w:hAnsi="Times New Roman"/>
          <w:sz w:val="28"/>
        </w:rPr>
        <w:t xml:space="preserve">Вывод по разделу 2</w:t>
      </w:r>
    </w:p>
    <w:p>
      <w:pPr>
        <w:jc w:val="both"/>
      </w:pPr>
      <w:r>
        <w:rPr>
          <w:rFonts w:ascii="Times New Roman" w:hAnsi="Times New Roman"/>
          <w:sz w:val="28"/>
        </w:rPr>
        <w:t xml:space="preserve">В ходе анализа датасета Power Consumption of Tetouan City (52 416 записей, 8 числовых каналов, 10-минутный шаг, 2017 г.) установлено: пропущенные значения отсутствуют; выбросы (1,19%) сосредоточены в летние пиковые дни и являются реальными экстремумами нагрузки; каналы потребления Zone 1–3 высококоррелированы (r &gt; 0,87) и демонстрируют выраженную суточную и сезонную периодичность; SNR декомпозиции составляет 17,1 дБ («Отлично»). Датасет пригоден для задач краткосрочного прогнозирования нагрузки с использованием моделей LSTM, Prophet и методов авторегрессии. Исходный код анализа размещён в репозитории GitHub.</w:t>
      </w:r>
    </w:p>
    <w:p w:rsidR="00FC2A09" w:rsidRDefault="00F0761E">
      <w:pPr>
        <w:pStyle w:val="1"/>
      </w:pPr>
      <w:r>
        <w:lastRenderedPageBreak/>
        <w:t>3. ПЕРВИЧНЫЙ АНАЛИЗ НАБОРА ДАННЫХ С ИЗОБРАЖЕНИЯМИ</w:t>
      </w:r>
    </w:p>
    <w:p w:rsidR="00FC2A09" w:rsidRDefault="00F0761E">
      <w:pPr>
        <w:pStyle w:val="2"/>
        <w:ind w:firstLine="709"/>
      </w:pPr>
      <w:r>
        <w:t>3.1 Постановка задачи</w:t>
      </w:r>
    </w:p>
    <w:p w:rsidR="00FC2A09" w:rsidRDefault="00F0761E">
      <w:pPr>
        <w:spacing w:after="120" w:line="360" w:lineRule="auto"/>
        <w:ind w:firstLine="709"/>
        <w:jc w:val="both"/>
      </w:pPr>
      <w:r>
        <w:t>Рассматривается задача бинарной классификации изображений в медицинской диагностике: по рентгеновскому снимку грудной клетки определить наличие или отсутствие пневмонии. Тип задачи — бинарная классификация изображений; входные данные — полутоновое рентгеновское изображение грудной клетки; выходные данные — бинарная метка (NORMAL или PNEUMONIA).</w:t>
      </w:r>
    </w:p>
    <w:p w:rsidR="00FC2A09" w:rsidRDefault="00F0761E">
      <w:pPr>
        <w:spacing w:after="120" w:line="360" w:lineRule="auto"/>
        <w:ind w:firstLine="709"/>
        <w:jc w:val="both"/>
      </w:pPr>
      <w:r>
        <w:t>Предметная область: медицинская диагностика лёгочных заболеваний. Практическая значимость: автоматизация диагностики пневмонии позволяет ускорить и объективизировать постановку диагноза в условиях нехватки специалистов-радиологов, особенно в развивающихся странах. Требования к данным: достаточный объём изображений обоих классов, наличие стандартизованных условий съёмки, минимальный процент артефактов.</w:t>
      </w:r>
    </w:p>
    <w:p w:rsidR="00FC2A09" w:rsidRDefault="00F0761E">
      <w:pPr>
        <w:pStyle w:val="2"/>
        <w:ind w:firstLine="709"/>
      </w:pPr>
      <w:r>
        <w:t>3.2 Описание выбранного набора данных</w:t>
      </w:r>
    </w:p>
    <w:p w:rsidR="00FC2A09" w:rsidRDefault="00F0761E">
      <w:pPr>
        <w:spacing w:after="120" w:line="360" w:lineRule="auto"/>
        <w:ind w:firstLine="709"/>
        <w:jc w:val="both"/>
      </w:pPr>
      <w:r>
        <w:t>Для анализа выбран датасет «Chest X-Ray Images (Pneumonia)», размещённый на платформе Kaggle (автор: Paul Timothy Mooney). URL: https://www.kaggle.com/datasets/paultimothymooney/chest-xray-pneumonia (дата обращения: 2026 г.). Данные предоставлены Исследовательским центром Гуандчжоу Женской и детской больницы.</w:t>
      </w:r>
    </w:p>
    <w:p w:rsidR="00FC2A09" w:rsidRDefault="00FC2A09"/>
    <w:p w:rsidR="00FC2A09" w:rsidRDefault="00F0761E">
      <w:pPr>
        <w:spacing w:before="120" w:after="120" w:line="280" w:lineRule="auto"/>
        <w:jc w:val="left"/>
      </w:pPr>
      <w:r>
        <w:rPr>
          <w:b/>
          <w:bCs/>
          <w:sz w:val="24"/>
          <w:szCs w:val="24"/>
        </w:rPr>
        <w:t>Таблица 3 – Характеристика датасета Chest X-Ray Pneumonia</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4"/>
        <w:gridCol w:w="5989"/>
      </w:tblGrid>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Характеристика</w:t>
            </w:r>
          </w:p>
        </w:tc>
        <w:tc>
          <w:tcPr>
            <w:tcW w:w="5988"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Значение</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Название датасета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Chest X-Ray Images (Pneumonia)</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Kaggle (paultimothymooney/chest-xray-pneumonia)</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Первоисточник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Guangzhou Women and Children's Medical Center</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Всего изображений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5 856</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lastRenderedPageBreak/>
              <w:t>Класс NORMAL</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1 583 (27,1%)</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Класс PNEUMONIA</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4 273 (72,9%)</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Формат изображений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JPEG (.jpg)</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Структура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 xml:space="preserve">train / val / test </w:t>
            </w:r>
            <w:r>
              <w:rPr>
                <w:sz w:val="24"/>
                <w:szCs w:val="24"/>
              </w:rPr>
              <w:t>по</w:t>
            </w:r>
            <w:r>
              <w:rPr>
                <w:sz w:val="24"/>
                <w:szCs w:val="24"/>
                <w:lang w:val="en-US"/>
              </w:rPr>
              <w:t xml:space="preserve"> 2 </w:t>
            </w:r>
            <w:r>
              <w:rPr>
                <w:sz w:val="24"/>
                <w:szCs w:val="24"/>
              </w:rPr>
              <w:t>классам</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Размеры изображений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Различные (обычно ~1000×700 до ~400×350 пикселей)</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Лицензия</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CC BY 4.0</w:t>
            </w:r>
          </w:p>
        </w:tc>
      </w:tr>
    </w:tbl>
    <w:p w:rsidR="00FC2A09" w:rsidRDefault="00FC2A09"/>
    <w:p w:rsidR="00FC2A09" w:rsidRDefault="00F0761E">
      <w:pPr>
        <w:spacing w:after="120" w:line="360" w:lineRule="auto"/>
        <w:ind w:firstLine="709"/>
        <w:jc w:val="both"/>
      </w:pPr>
      <w:r>
        <w:t>Обучающая выборка содержит 5 216 изображений, тестовая — 624, валидационная — 16. Снимки выполнены в прямой проекции для пациентов педиатрического возраста.</w:t>
      </w:r>
    </w:p>
    <w:p w:rsidR="00FC2A09" w:rsidRDefault="00F0761E">
      <w:pPr>
        <w:pStyle w:val="2"/>
        <w:ind w:firstLine="709"/>
      </w:pPr>
      <w:r>
        <w:t>3.3 Описание результатов первичного анализа</w:t>
      </w:r>
    </w:p>
    <w:p w:rsidR="00FC2A09" w:rsidRDefault="00F0761E">
      <w:pPr>
        <w:spacing w:before="240" w:after="120" w:line="360" w:lineRule="auto"/>
        <w:ind w:firstLine="709"/>
      </w:pPr>
      <w:r>
        <w:rPr>
          <w:b/>
          <w:bCs/>
        </w:rPr>
        <w:t>3.3.1 Структура датасета и распределение классов</w:t>
      </w:r>
    </w:p>
    <w:p w:rsidR="00FC2A09" w:rsidRDefault="00F0761E">
      <w:pPr>
        <w:spacing w:after="120" w:line="360" w:lineRule="auto"/>
        <w:ind w:firstLine="709"/>
        <w:jc w:val="both"/>
      </w:pPr>
      <w:r>
        <w:t>В обучающей выборке выраженный дисбаланс классов: PNEUMONIA — 3 875 изображений (74,4%), NORMAL — 1 341 (25,6%). В тестовой выборке: PNEUMONIA — 390 (62,5%), NORMAL — 234 (37,5%). Дисбаланс обусловлен клинической практикой: пациенты с патологией направляются на рентген чаще. При обучении модели необходимо применять взвешивание классов или аугментацию.</w:t>
      </w:r>
    </w:p>
    <w:p w:rsidR="00FC2A09" w:rsidRDefault="00F0761E">
      <w:pPr>
        <w:spacing w:before="240" w:after="120" w:line="360" w:lineRule="auto"/>
        <w:ind w:firstLine="709"/>
      </w:pPr>
      <w:r>
        <w:rPr>
          <w:b/>
          <w:bCs/>
        </w:rPr>
        <w:t>3.3.2 Анализ размеров изображений</w:t>
      </w:r>
    </w:p>
    <w:p w:rsidR="00FC2A09" w:rsidRDefault="00F0761E">
      <w:pPr>
        <w:spacing w:after="120" w:line="360" w:lineRule="auto"/>
        <w:ind w:firstLine="709"/>
        <w:jc w:val="both"/>
      </w:pPr>
      <w:r>
        <w:t>Размеры изображений в датасете неоднородны. Ширина варьируется от 360 до 2 916 пикселей (среднее ≈ 1 100); высота — от 313 до 2 583 пикселей (среднее ≈ 875). Неоднородность размеров обусловлена различным оборудованием рентгеновских кабинетов. Перед подачей в свёрточную нейронную сеть необходимо выполнить ресайз до фиксированного размера (например, 224 × 224 пикселей).</w:t>
      </w:r>
    </w:p>
    <w:p w:rsidR="00FC2A09" w:rsidRDefault="00F0761E">
      <w:pPr>
        <w:spacing w:before="240" w:after="120" w:line="360" w:lineRule="auto"/>
        <w:ind w:firstLine="709"/>
      </w:pPr>
      <w:r>
        <w:rPr>
          <w:b/>
          <w:bCs/>
        </w:rPr>
        <w:t>3.3.3 Распределение яркости пикселей</w:t>
      </w:r>
    </w:p>
    <w:p w:rsidR="00FC2A09" w:rsidRDefault="00F0761E">
      <w:pPr>
        <w:spacing w:after="120" w:line="360" w:lineRule="auto"/>
        <w:ind w:firstLine="709"/>
        <w:jc w:val="both"/>
      </w:pPr>
      <w:r>
        <w:lastRenderedPageBreak/>
        <w:t>Исследованы гистограммы яркости пикселей для выборки из 50 изображений каждого класса. Для класса NORMAL среднее значение яркости составляет около 110, стандартное отклонение — около 55. Для класса PNEUMONIA — среднее около 130, стандартное отклонение около 65. Повышенная яркость пневмонийных снимков обусловлена уплотнением лёгочной ткани, которое выглядит светлее на рентгеновском снимке. Это различие потенциально является дискриминирующим признаком для классификатора.</w:t>
      </w:r>
    </w:p>
    <w:p w:rsidR="00FC2A09" w:rsidRDefault="00F0761E">
      <w:pPr>
        <w:spacing w:before="240" w:after="120" w:line="360" w:lineRule="auto"/>
        <w:ind w:firstLine="709"/>
      </w:pPr>
      <w:r>
        <w:rPr>
          <w:b/>
          <w:bCs/>
        </w:rPr>
        <w:t>3.3.4 Средние изображения классов</w:t>
      </w:r>
    </w:p>
    <w:p w:rsidR="00FC2A09" w:rsidRDefault="00F0761E">
      <w:pPr>
        <w:spacing w:after="120" w:line="360" w:lineRule="auto"/>
        <w:ind w:firstLine="709"/>
        <w:jc w:val="both"/>
      </w:pPr>
      <w:r>
        <w:t>Вычислены усреднённые изображения (по 100 снимков каждого класса), нормированные к разрешению 224 × 224 пикселей. На среднем изображении класса NORMAL чётко прослеживаются симметричные воздушные лёгочные поля с однородной тёмной структурой. На среднем изображении PNEUMONIA в области правого и/или левого лёгочного поля наблюдается характерное светлое «засвечивание» — инфильтрат. Разностное изображение (PNEUMONIA − NORMAL) позволяет локализовать области наибольших различий.</w:t>
      </w:r>
    </w:p>
    <w:p w:rsidR="00FC2A09" w:rsidRDefault="00F0761E">
      <w:pPr>
        <w:spacing w:before="240" w:after="120" w:line="360" w:lineRule="auto"/>
        <w:ind w:firstLine="709"/>
      </w:pPr>
      <w:r>
        <w:rPr>
          <w:b/>
          <w:bCs/>
        </w:rPr>
        <w:t>3.3.5 Анализ контраста изображений</w:t>
      </w:r>
    </w:p>
    <w:p w:rsidR="00FC2A09" w:rsidRDefault="00F0761E">
      <w:pPr>
        <w:spacing w:after="120" w:line="360" w:lineRule="auto"/>
        <w:ind w:firstLine="709"/>
        <w:jc w:val="both"/>
      </w:pPr>
      <w:r>
        <w:t>Контраст изображения оценивается как стандартное отклонение яркости пикселей. Снимки класса PNEUMONIA в среднем имеют более высокий контраст (std ≈ 65), что отражает выраженную неоднородность лёгочной ткани при воспалении. Снимки NORMAL несколько однороднее (std ≈ 55). При этом распределения контраста перекрываются, что подтверждает необходимость использования сложных моделей (глубокие CNN, ResNet, EfficientNet) для надёжной классификации.</w:t>
      </w:r>
    </w:p>
    <w:p w:rsidR="00FC2A09" w:rsidRDefault="00F0761E">
      <w:pPr>
        <w:spacing w:before="120" w:after="60"/>
        <w:jc w:val="center"/>
      </w:pPr>
      <w:r>
        <w:rPr>
          <w:noProof/>
        </w:rPr>
        <w:lastRenderedPageBreak/>
        <w:drawing>
          <wp:inline distT="0" distB="0" distL="0" distR="0">
            <wp:extent cx="4572000" cy="2076450"/>
            <wp:effectExtent l="0" t="0" r="0" b="0"/>
            <wp:docPr id="13" name="Рисунок 13 – Распределение классов датасета Chest X-Ray Pneumonia" descr="Рисунок 13 – Распределение классов датасета Chest X-Ray Pneumonia" title="Рисунок 13 – Распределение классов датасета Chest X-Ray Pneumon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2076450"/>
                    </a:xfrm>
                    <a:prstGeom prst="rect">
                      <a:avLst/>
                    </a:prstGeom>
                  </pic:spPr>
                </pic:pic>
              </a:graphicData>
            </a:graphic>
          </wp:inline>
        </w:drawing>
      </w:r>
    </w:p>
    <w:p w:rsidR="00FC2A09" w:rsidRDefault="00F0761E">
      <w:pPr>
        <w:spacing w:after="180"/>
        <w:jc w:val="center"/>
      </w:pPr>
      <w:r>
        <w:rPr>
          <w:b/>
          <w:bCs/>
          <w:i/>
          <w:iCs/>
          <w:sz w:val="24"/>
          <w:szCs w:val="24"/>
        </w:rPr>
        <w:t>Рисунок 13 – Распределение классов датасета Chest X-Ray Pneumonia</w:t>
      </w:r>
    </w:p>
    <w:p w:rsidR="00FC2A09" w:rsidRDefault="00F0761E">
      <w:pPr>
        <w:spacing w:before="120" w:after="60"/>
        <w:jc w:val="center"/>
      </w:pPr>
      <w:r>
        <w:rPr>
          <w:noProof/>
        </w:rPr>
        <w:drawing>
          <wp:inline distT="0" distB="0" distL="0" distR="0">
            <wp:extent cx="4572000" cy="2286000"/>
            <wp:effectExtent l="0" t="0" r="0" b="0"/>
            <wp:docPr id="14" name="Рисунок 14 – Примеры рентгеновских снимков: NORMAL и PNEUMONIA" descr="Рисунок 14 – Примеры рентгеновских снимков: NORMAL и PNEUMONIA" title="Рисунок 14 – Примеры рентгеновских снимков: NORMAL и PNEUMON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72000" cy="2286000"/>
                    </a:xfrm>
                    <a:prstGeom prst="rect">
                      <a:avLst/>
                    </a:prstGeom>
                  </pic:spPr>
                </pic:pic>
              </a:graphicData>
            </a:graphic>
          </wp:inline>
        </w:drawing>
      </w:r>
    </w:p>
    <w:p w:rsidR="00FC2A09" w:rsidRDefault="00F0761E">
      <w:pPr>
        <w:spacing w:after="180"/>
        <w:jc w:val="center"/>
      </w:pPr>
      <w:r>
        <w:rPr>
          <w:b/>
          <w:bCs/>
          <w:i/>
          <w:iCs/>
          <w:sz w:val="24"/>
          <w:szCs w:val="24"/>
        </w:rPr>
        <w:t>Рисунок 14 – Примеры рентгеновских снимков: NORMAL и PNEUMONIA</w:t>
      </w:r>
    </w:p>
    <w:p w:rsidR="00FC2A09" w:rsidRDefault="00F0761E">
      <w:pPr>
        <w:spacing w:before="120" w:after="60"/>
        <w:jc w:val="center"/>
      </w:pPr>
      <w:r>
        <w:rPr>
          <w:noProof/>
        </w:rPr>
        <w:drawing>
          <wp:inline distT="0" distB="0" distL="0" distR="0">
            <wp:extent cx="4572000" cy="2076450"/>
            <wp:effectExtent l="0" t="0" r="0" b="0"/>
            <wp:docPr id="15" name="Рисунок 15 – Распределение размеров изображений в датасете" descr="Рисунок 15 – Распределение размеров изображений в датасете" title="Рисунок 15 – Распределение размеров изображений в датасет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2000" cy="2076450"/>
                    </a:xfrm>
                    <a:prstGeom prst="rect">
                      <a:avLst/>
                    </a:prstGeom>
                  </pic:spPr>
                </pic:pic>
              </a:graphicData>
            </a:graphic>
          </wp:inline>
        </w:drawing>
      </w:r>
    </w:p>
    <w:p w:rsidR="00FC2A09" w:rsidRDefault="00F0761E">
      <w:pPr>
        <w:spacing w:after="180"/>
        <w:jc w:val="center"/>
      </w:pPr>
      <w:r>
        <w:rPr>
          <w:b/>
          <w:bCs/>
          <w:i/>
          <w:iCs/>
          <w:sz w:val="24"/>
          <w:szCs w:val="24"/>
        </w:rPr>
        <w:t>Рисунок 15 – Распределение размеров изображений в датасете</w:t>
      </w:r>
    </w:p>
    <w:p w:rsidR="00FC2A09" w:rsidRDefault="00F0761E">
      <w:pPr>
        <w:spacing w:before="120" w:after="60"/>
        <w:jc w:val="center"/>
      </w:pPr>
      <w:r>
        <w:rPr>
          <w:noProof/>
        </w:rPr>
        <w:lastRenderedPageBreak/>
        <w:drawing>
          <wp:inline distT="0" distB="0" distL="0" distR="0">
            <wp:extent cx="4572000" cy="2076450"/>
            <wp:effectExtent l="0" t="0" r="0" b="0"/>
            <wp:docPr id="16" name="Рисунок 16 – Гистограммы яркости пикселей по классам" descr="Рисунок 16 – Гистограммы яркости пикселей по классам" title="Рисунок 16 – Гистограммы яркости пикселей по класса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572000" cy="2076450"/>
                    </a:xfrm>
                    <a:prstGeom prst="rect">
                      <a:avLst/>
                    </a:prstGeom>
                  </pic:spPr>
                </pic:pic>
              </a:graphicData>
            </a:graphic>
          </wp:inline>
        </w:drawing>
      </w:r>
    </w:p>
    <w:p w:rsidR="00FC2A09" w:rsidRDefault="00F0761E">
      <w:pPr>
        <w:spacing w:after="180"/>
        <w:jc w:val="center"/>
      </w:pPr>
      <w:r>
        <w:rPr>
          <w:b/>
          <w:bCs/>
          <w:i/>
          <w:iCs/>
          <w:sz w:val="24"/>
          <w:szCs w:val="24"/>
        </w:rPr>
        <w:t>Рисунок 16 – Гистограммы яркости пикселей по классам</w:t>
      </w:r>
    </w:p>
    <w:p w:rsidR="00FC2A09" w:rsidRDefault="00F0761E">
      <w:pPr>
        <w:spacing w:before="120" w:after="60"/>
        <w:jc w:val="center"/>
      </w:pPr>
      <w:r>
        <w:rPr>
          <w:noProof/>
        </w:rPr>
        <w:drawing>
          <wp:inline distT="0" distB="0" distL="0" distR="0">
            <wp:extent cx="4572000" cy="1762125"/>
            <wp:effectExtent l="0" t="0" r="0" b="0"/>
            <wp:docPr id="17" name="Рисунок 17 – Средние изображения классов и их разность" descr="Рисунок 17 – Средние изображения классов и их разность" title="Рисунок 17 – Средние изображения классов и их разнос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572000" cy="1762125"/>
                    </a:xfrm>
                    <a:prstGeom prst="rect">
                      <a:avLst/>
                    </a:prstGeom>
                  </pic:spPr>
                </pic:pic>
              </a:graphicData>
            </a:graphic>
          </wp:inline>
        </w:drawing>
      </w:r>
    </w:p>
    <w:p w:rsidR="00FC2A09" w:rsidRDefault="00F0761E">
      <w:pPr>
        <w:spacing w:after="180"/>
        <w:jc w:val="center"/>
      </w:pPr>
      <w:r>
        <w:rPr>
          <w:b/>
          <w:bCs/>
          <w:i/>
          <w:iCs/>
          <w:sz w:val="24"/>
          <w:szCs w:val="24"/>
        </w:rPr>
        <w:t>Рисунок 17 – Средние изображения классов и их разность</w:t>
      </w:r>
    </w:p>
    <w:p w:rsidR="00FC2A09" w:rsidRDefault="00F0761E">
      <w:pPr>
        <w:spacing w:before="120" w:after="60"/>
        <w:jc w:val="center"/>
      </w:pPr>
      <w:r>
        <w:rPr>
          <w:noProof/>
        </w:rPr>
        <w:drawing>
          <wp:inline distT="0" distB="0" distL="0" distR="0">
            <wp:extent cx="4572000" cy="2076450"/>
            <wp:effectExtent l="0" t="0" r="0" b="0"/>
            <wp:docPr id="18" name="Рисунок 18 – Анализ яркости и контраста снимков по классам" descr="Рисунок 18 – Анализ яркости и контраста снимков по классам" title="Рисунок 18 – Анализ яркости и контраста снимков по класса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572000" cy="2076450"/>
                    </a:xfrm>
                    <a:prstGeom prst="rect">
                      <a:avLst/>
                    </a:prstGeom>
                  </pic:spPr>
                </pic:pic>
              </a:graphicData>
            </a:graphic>
          </wp:inline>
        </w:drawing>
      </w:r>
    </w:p>
    <w:p w:rsidR="00FC2A09" w:rsidRDefault="00F0761E">
      <w:pPr>
        <w:spacing w:after="180"/>
        <w:jc w:val="center"/>
      </w:pPr>
      <w:r>
        <w:rPr>
          <w:b/>
          <w:bCs/>
          <w:i/>
          <w:iCs/>
          <w:sz w:val="24"/>
          <w:szCs w:val="24"/>
        </w:rPr>
        <w:t>Рисунок 18 – Анализ яркости и контраста снимков по классам</w:t>
      </w:r>
    </w:p>
    <w:p>
      <w:pPr>
        <w:pStyle w:val="Heading4"/>
      </w:pPr>
      <w:r>
        <w:rPr/>
        <w:t xml:space="preserve">3.3.6 Оценка качества разметки и технические ограничения</w:t>
      </w:r>
    </w:p>
    <w:p>
      <w:pPr>
        <w:jc w:val="both"/>
      </w:pPr>
      <w:r>
        <w:rPr>
          <w:rFonts w:ascii="Times New Roman" w:hAnsi="Times New Roman"/>
          <w:sz w:val="28"/>
          <w:szCs w:val="28"/>
        </w:rPr>
        <w:t xml:space="preserve">Оценка качества разметки выполнена на выборке из 30 изображений (15 NORMAL + 15 PNEUMONIA): все проверенные изображения имеют корректные метки, соответствующие клиническому диагнозу, подтверждённому специалистами Гуанчжоуской детской больницы. Типичные особенности разметки: у ряда снимков PNEUMONIA класс не уточнён (бактериальная vs вирусная пневмония), что является известным ограничением датасета. Ошибок разметки в проверенной выборке не обнаружено. Ограничения по разрешению: 12 из 50 проверенных изображений (24%) имеют высоту менее 512 пикселей (минимум 313 пикселей). Это нарушает рекомендуемый минимум; при подаче в CNN рекомендуется применить ресайз с сохранением пропорций до 224×224 и исключить снимки с исходным разрешением менее 200×200 пикселей как потенциально нечёткие.</w:t>
      </w:r>
    </w:p>
    <w:p>
      <w:pPr>
        <w:jc w:val="both"/>
      </w:pPr>
      <w:r>
        <w:rPr>
          <w:rFonts w:ascii="Times New Roman" w:hAnsi="Times New Roman"/>
          <w:sz w:val="28"/>
        </w:rPr>
        <w:t xml:space="preserve">3.3.7 Формат аннотаций и очистка данных</w:t>
      </w:r>
    </w:p>
    <w:p>
      <w:pPr>
        <w:jc w:val="both"/>
      </w:pPr>
      <w:r>
        <w:rPr>
          <w:rFonts w:ascii="Times New Roman" w:hAnsi="Times New Roman"/>
          <w:sz w:val="28"/>
        </w:rPr>
        <w:t xml:space="preserve">Формат аннотаций датасета: каждое изображение аннотировано бинарной меткой класса, закодированной структурой директорий (NORMAL / PNEUMONIA). Аннотация на уровне изображения (image-level label), а не на уровне пикселей (нет масок сегментации или ограничивающих рамок). Примеры разметки: (1) файл IM-0001-0001.jpeg → метка NORMAL; (2) файл person1_bacteria_1.jpeg → метка PNEUMONIA (бактериальная); (3) файл person1_virus_1.jpeg → метка PNEUMONIA (вирусная). Ограничение: тип пневмонии (бактериальная/вирусная) закодирован в имени файла, но не вынесен в отдельный столбец — это известное ограничение датасета. Очистка данных: (1) проверена целостность файлов — повреждённые изображения не обнаружены; (2) исключены дублирующиеся снимки по хешу MD5 (найдено 0 дубликатов); (3) снимки с разрешением менее 200×200 пикселей (0 файлов) рекомендованы к исключению как потенциально нечёткие. Все 5 856 изображений прошли проверку и пригодны для дальнейшего обучения.</w:t>
      </w:r>
    </w:p>
    <w:p w:rsidR="00FC2A09" w:rsidRDefault="00F0761E">
      <w:pPr>
        <w:spacing w:before="240" w:after="120" w:line="360" w:lineRule="auto"/>
        <w:jc w:val="center"/>
      </w:pPr>
      <w:r>
        <w:rPr>
          <w:b/>
          <w:bCs/>
        </w:rPr>
        <w:t>Вывод по разделу 3</w:t>
      </w:r>
    </w:p>
    <w:p w:rsidR="00FC2A09" w:rsidRDefault="00F0761E">
      <w:pPr>
        <w:spacing w:after="120" w:line="360" w:lineRule="auto"/>
        <w:ind w:firstLine="709"/>
        <w:jc w:val="both"/>
      </w:pPr>
      <w:r>
        <w:t xml:space="preserve">В ходе первичного анализа датасета Chest X-Ray Pneumonia (5 856 изображений, 2 класса) установлено: наблюдается существенный дисбаланс классов (PNEUMONIA: 73%, NORMAL: 27%); изображения имеют неоднородные размеры, требующие стандартизации; пневмонийные снимки характеризуются повышенной яркостью и контрастом. Для успешного обучения модели рекомендуется применить аугментацию данных (повороты, </w:t>
        <w:lastRenderedPageBreak/>
        <w:t>отражения, изменение яркости) и взвешивание классов. Датасет пригоден для задачи бинарной медицинской классификации. Исходный код анализа размещён в репозитории GitHub.</w:t>
      </w:r>
    </w:p>
    <w:p w:rsidR="00FC2A09" w:rsidRDefault="00F0761E">
      <w:r>
        <w:br w:type="page"/>
      </w:r>
    </w:p>
    <w:p w:rsidR="00FC2A09" w:rsidRDefault="00F0761E">
      <w:pPr>
        <w:pStyle w:val="1"/>
      </w:pPr>
      <w:r>
        <w:lastRenderedPageBreak/>
        <w:t>4. ПЕРВИЧНЫЙ АНАЛИЗ НАБОРА ТЕКСТОВЫХ ДАННЫХ</w:t>
      </w:r>
    </w:p>
    <w:p w:rsidR="00FC2A09" w:rsidRDefault="00F0761E">
      <w:pPr>
        <w:pStyle w:val="2"/>
        <w:ind w:firstLine="709"/>
      </w:pPr>
      <w:r>
        <w:t>4.1 Постановка задачи</w:t>
      </w:r>
    </w:p>
    <w:p w:rsidR="00FC2A09" w:rsidRDefault="00F0761E">
      <w:pPr>
        <w:spacing w:after="120" w:line="360" w:lineRule="auto"/>
        <w:ind w:firstLine="709"/>
        <w:jc w:val="both"/>
      </w:pPr>
      <w:r>
        <w:t>Рассматривается задача многоклассовой классификации текста: по содержанию новостной статьи определить её тематическую категорию. Тип задачи — многоклассовая классификация; входные данные — полный текст статьи (последовательность слов на английском языке); выходные данные — одна из пяти категорий: спорт (sport), бизнес (business), политика (politics), технологии (tech), развлечения (entertainment).</w:t>
      </w:r>
    </w:p>
    <w:p w:rsidR="00FC2A09" w:rsidRDefault="00F0761E">
      <w:pPr>
        <w:spacing w:after="120" w:line="360" w:lineRule="auto"/>
        <w:ind w:firstLine="709"/>
        <w:jc w:val="both"/>
      </w:pPr>
      <w:r>
        <w:t>Предметная область: автоматическая классификация новостного контента. Практическая значимость: автоматическая тематическая рубрикация применяется в новостных агрегаторах, системах рекомендаций и архивировании медиаконтента. Требования к данным: достаточная длина текстов для извлечения значимых признаков, баланс классов, качественная предобработка (удаление стоп-слов, нормализация).</w:t>
      </w:r>
    </w:p>
    <w:p w:rsidR="00FC2A09" w:rsidRDefault="00F0761E">
      <w:pPr>
        <w:pStyle w:val="2"/>
        <w:ind w:firstLine="709"/>
      </w:pPr>
      <w:r>
        <w:t>4.2 Описание выбранного набора данных</w:t>
      </w:r>
    </w:p>
    <w:p w:rsidR="00FC2A09" w:rsidRDefault="00F0761E">
      <w:pPr>
        <w:spacing w:after="120" w:line="360" w:lineRule="auto"/>
        <w:ind w:firstLine="709"/>
        <w:jc w:val="both"/>
      </w:pPr>
      <w:r>
        <w:t>Для анализа выбран датасет «BBC News Classification», размещённый на платформе Kaggle (автор: alfathterry91). URL: https://www.kaggle.com/datasets/alfathterry91/bbc-news-classification (дата обращения: 2026 г.). Данные представляют собой коллекцию статей телерадиовещательной компании BBC, охватывающих период 2004–2005 годов.</w:t>
      </w:r>
    </w:p>
    <w:p w:rsidR="00FC2A09" w:rsidRDefault="00FC2A09"/>
    <w:p w:rsidR="00FC2A09" w:rsidRDefault="00F0761E">
      <w:pPr>
        <w:spacing w:before="120" w:after="120" w:line="280" w:lineRule="auto"/>
        <w:jc w:val="left"/>
      </w:pPr>
      <w:r>
        <w:rPr>
          <w:b/>
          <w:bCs/>
          <w:sz w:val="24"/>
          <w:szCs w:val="24"/>
        </w:rPr>
        <w:t>Таблица 4 – Характеристика датасета BBC News Classification</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4"/>
        <w:gridCol w:w="5989"/>
      </w:tblGrid>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Характеристика</w:t>
            </w:r>
          </w:p>
        </w:tc>
        <w:tc>
          <w:tcPr>
            <w:tcW w:w="5988"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vAlign w:val="center"/>
          </w:tcPr>
          <w:p w:rsidR="00FC2A09" w:rsidRDefault="00F0761E">
            <w:pPr>
              <w:spacing w:line="280" w:lineRule="auto"/>
            </w:pPr>
            <w:r>
              <w:rPr>
                <w:b/>
                <w:bCs/>
                <w:sz w:val="24"/>
                <w:szCs w:val="24"/>
              </w:rPr>
              <w:t>Значение</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Название датасета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BBC News Classification</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Kaggle (alfathterry91/bbc-news-classification)</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Первоисточник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BBC News Archive, 2004–2005 гг.</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lastRenderedPageBreak/>
              <w:t>Всего статей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2 225</w:t>
            </w:r>
          </w:p>
        </w:tc>
      </w:tr>
      <w:tr w:rsidR="00FC2A09" w:rsidRPr="008921EC">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Число категорий</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Pr="008921EC" w:rsidRDefault="00F0761E">
            <w:pPr>
              <w:spacing w:line="280" w:lineRule="auto"/>
              <w:rPr>
                <w:lang w:val="en-US"/>
              </w:rPr>
            </w:pPr>
            <w:r>
              <w:rPr>
                <w:sz w:val="24"/>
                <w:szCs w:val="24"/>
                <w:lang w:val="en-US"/>
              </w:rPr>
              <w:t>5 (sport, business, politics, tech, entertainment)</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Средняя длина статьи</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390 слов</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Минимальная длина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 50 слов</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Максимальная длина</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 4 500 слов</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Язык</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Английский</w:t>
            </w:r>
          </w:p>
        </w:tc>
      </w:tr>
      <w:tr w:rsidR="00FC2A09">
        <w:tblPrEx>
          <w:tblCellMar>
            <w:top w:w="0" w:type="dxa"/>
            <w:bottom w:w="0" w:type="dxa"/>
          </w:tblCellMar>
        </w:tblPrEx>
        <w:tc>
          <w:tcPr>
            <w:tcW w:w="32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b/>
                <w:bCs/>
                <w:sz w:val="24"/>
                <w:szCs w:val="24"/>
              </w:rPr>
              <w:t>Лицензия</w:t>
            </w:r>
          </w:p>
        </w:tc>
        <w:tc>
          <w:tcPr>
            <w:tcW w:w="59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FC2A09" w:rsidRDefault="00F0761E">
            <w:pPr>
              <w:spacing w:line="280" w:lineRule="auto"/>
            </w:pPr>
            <w:r>
              <w:rPr>
                <w:sz w:val="24"/>
                <w:szCs w:val="24"/>
              </w:rPr>
              <w:t>Открытый (для академического использования)</w:t>
            </w:r>
          </w:p>
        </w:tc>
      </w:tr>
    </w:tbl>
    <w:p w:rsidR="00FC2A09" w:rsidRDefault="00FC2A09"/>
    <w:p w:rsidR="00FC2A09" w:rsidRDefault="00F0761E">
      <w:pPr>
        <w:spacing w:after="120" w:line="360" w:lineRule="auto"/>
        <w:ind w:firstLine="709"/>
        <w:jc w:val="both"/>
      </w:pPr>
      <w:r>
        <w:t>Столбцы датасета: category (категория статьи), text (полный текст статьи). Распределение по категориям: sport — 511, business — 510, politics — 417, tech — 401, entertainment — 386 статей.</w:t>
      </w:r>
    </w:p>
    <w:p w:rsidR="00FC2A09" w:rsidRDefault="00F0761E">
      <w:pPr>
        <w:pStyle w:val="2"/>
        <w:ind w:firstLine="709"/>
      </w:pPr>
      <w:r>
        <w:t>4.3 Описание результатов первичного анализа</w:t>
      </w:r>
    </w:p>
    <w:p w:rsidR="00FC2A09" w:rsidRDefault="00F0761E">
      <w:pPr>
        <w:spacing w:before="240" w:after="120" w:line="360" w:lineRule="auto"/>
        <w:ind w:firstLine="709"/>
      </w:pPr>
      <w:r>
        <w:rPr>
          <w:b/>
          <w:bCs/>
        </w:rPr>
        <w:t>4.3.1 Распределение категорий</w:t>
      </w:r>
    </w:p>
    <w:p w:rsidR="00FC2A09" w:rsidRDefault="00F0761E">
      <w:pPr>
        <w:spacing w:after="120" w:line="360" w:lineRule="auto"/>
        <w:ind w:firstLine="709"/>
        <w:jc w:val="both"/>
      </w:pPr>
      <w:r>
        <w:t>Наиболее представленные категории — спорт и бизнес (по ~510 статей). Наименее — технологии и развлечения (~390–400 статей). Максимальное отклонение от среднего составляет около 15%, что соответствует слабо несбалансированному датасету. Специальных мер балансировки не требуется; при необходимости можно применить стратифицированное разбиение на обучающую и тестовую выборки.</w:t>
      </w:r>
    </w:p>
    <w:p w:rsidR="00FC2A09" w:rsidRDefault="00F0761E">
      <w:pPr>
        <w:spacing w:before="240" w:after="120" w:line="360" w:lineRule="auto"/>
        <w:ind w:firstLine="709"/>
      </w:pPr>
      <w:r>
        <w:rPr>
          <w:b/>
          <w:bCs/>
        </w:rPr>
        <w:t>4.3.2 Анализ длины текстов</w:t>
      </w:r>
    </w:p>
    <w:p w:rsidR="00FC2A09" w:rsidRDefault="00F0761E">
      <w:pPr>
        <w:spacing w:after="120" w:line="360" w:lineRule="auto"/>
        <w:ind w:firstLine="709"/>
        <w:jc w:val="both"/>
      </w:pPr>
      <w:r>
        <w:t>Средняя длина статьи составляет около 390 слов. Медиана (~340 слов) ниже среднего, что указывает на положительную асимметрию: присутствуют единичные очень длинные статьи (более 4 000 слов). Категория «politics» в среднем содержит наиболее длинные тексты (~440 слов), а «entertainment» — наиболее короткие (~330 слов). По числу символов средняя статья содержит около 2 200 символов.</w:t>
      </w:r>
    </w:p>
    <w:p w:rsidR="00FC2A09" w:rsidRDefault="00F0761E">
      <w:pPr>
        <w:spacing w:before="240" w:after="120" w:line="360" w:lineRule="auto"/>
        <w:ind w:firstLine="709"/>
      </w:pPr>
      <w:r>
        <w:rPr>
          <w:b/>
          <w:bCs/>
        </w:rPr>
        <w:t>4.3.3 Частотный анализ слов</w:t>
      </w:r>
    </w:p>
    <w:p w:rsidR="00FC2A09" w:rsidRPr="008921EC" w:rsidRDefault="00F0761E">
      <w:pPr>
        <w:spacing w:after="120" w:line="360" w:lineRule="auto"/>
        <w:ind w:firstLine="709"/>
        <w:jc w:val="both"/>
        <w:rPr>
          <w:lang w:val="en-US"/>
        </w:rPr>
      </w:pPr>
      <w:r>
        <w:lastRenderedPageBreak/>
        <w:t>После предобработки текста (приведение к нижнему регистру, удаление пунктуации, исключение стоп-слов, удаление токенов длиной менее 3 символов) объём словаря составляет около 25 000 уникальных слов. Наиболее частые слова во всём корпусе: «said», «year», «people», «government», «new», «last», «also» — нейтральные слова, характерные для новостного стиля. Топ</w:t>
      </w:r>
      <w:r>
        <w:rPr>
          <w:lang w:val="en-US"/>
        </w:rPr>
        <w:t xml:space="preserve">-10 </w:t>
      </w:r>
      <w:r>
        <w:t>слов</w:t>
      </w:r>
      <w:r>
        <w:rPr>
          <w:lang w:val="en-US"/>
        </w:rPr>
        <w:t xml:space="preserve"> </w:t>
      </w:r>
      <w:r>
        <w:t>по</w:t>
      </w:r>
      <w:r>
        <w:rPr>
          <w:lang w:val="en-US"/>
        </w:rPr>
        <w:t xml:space="preserve"> </w:t>
      </w:r>
      <w:r>
        <w:t>категориям</w:t>
      </w:r>
      <w:r>
        <w:rPr>
          <w:lang w:val="en-US"/>
        </w:rPr>
        <w:t xml:space="preserve"> </w:t>
      </w:r>
      <w:r>
        <w:t>хорошо</w:t>
      </w:r>
      <w:r>
        <w:rPr>
          <w:lang w:val="en-US"/>
        </w:rPr>
        <w:t xml:space="preserve"> </w:t>
      </w:r>
      <w:r>
        <w:t>отражают</w:t>
      </w:r>
      <w:r>
        <w:rPr>
          <w:lang w:val="en-US"/>
        </w:rPr>
        <w:t xml:space="preserve"> </w:t>
      </w:r>
      <w:r>
        <w:t>тематику</w:t>
      </w:r>
      <w:r>
        <w:rPr>
          <w:lang w:val="en-US"/>
        </w:rPr>
        <w:t xml:space="preserve">: </w:t>
      </w:r>
      <w:r>
        <w:t>для</w:t>
      </w:r>
      <w:r>
        <w:rPr>
          <w:lang w:val="en-US"/>
        </w:rPr>
        <w:t xml:space="preserve"> sport — «game», «play», «team», «win»; </w:t>
      </w:r>
      <w:r>
        <w:t>для</w:t>
      </w:r>
      <w:r>
        <w:rPr>
          <w:lang w:val="en-US"/>
        </w:rPr>
        <w:t xml:space="preserve"> tech — «software», «users», «mobile», «technology»; </w:t>
      </w:r>
      <w:r>
        <w:t>для</w:t>
      </w:r>
      <w:r>
        <w:rPr>
          <w:lang w:val="en-US"/>
        </w:rPr>
        <w:t xml:space="preserve"> politics — «government», «election», «minister».</w:t>
      </w:r>
    </w:p>
    <w:p w:rsidR="00FC2A09" w:rsidRDefault="00F0761E">
      <w:pPr>
        <w:spacing w:before="240" w:after="120" w:line="360" w:lineRule="auto"/>
        <w:ind w:firstLine="709"/>
      </w:pPr>
      <w:r>
        <w:rPr>
          <w:b/>
          <w:bCs/>
        </w:rPr>
        <w:t>4.3.4 TF-IDF матрица</w:t>
      </w:r>
    </w:p>
    <w:p w:rsidR="00FC2A09" w:rsidRDefault="00F0761E">
      <w:pPr>
        <w:spacing w:after="120" w:line="360" w:lineRule="auto"/>
        <w:ind w:firstLine="709"/>
        <w:jc w:val="both"/>
      </w:pPr>
      <w:r>
        <w:t>Построена TF-IDF матрица с параметрами: диапазон n-грамм (1,2), минимальная частота документа (min_df = 3), максимальное число признаков (max_features = 500), сублинейное TF. Итоговый размер матрицы: 2 225 × 500. Плотность матрицы составляет около 6,5% (высокая разреженность, характерная для текстовых данных). TF-IDF подчёркивает терминологически значимые слова каждой категории: для tech лидируют «broadband», «digital», «software».</w:t>
      </w:r>
    </w:p>
    <w:p w:rsidR="00FC2A09" w:rsidRDefault="00F0761E">
      <w:pPr>
        <w:spacing w:before="240" w:after="120" w:line="360" w:lineRule="auto"/>
        <w:ind w:firstLine="709"/>
      </w:pPr>
      <w:r>
        <w:rPr>
          <w:b/>
          <w:bCs/>
        </w:rPr>
        <w:t>4.3.5 Bag-of-Words матрица</w:t>
      </w:r>
    </w:p>
    <w:p w:rsidR="00FC2A09" w:rsidRDefault="00F0761E">
      <w:pPr>
        <w:spacing w:after="120" w:line="360" w:lineRule="auto"/>
        <w:ind w:firstLine="709"/>
        <w:jc w:val="both"/>
      </w:pPr>
      <w:r>
        <w:t>Матрица «мешка слов» построена с параметрами max_features = 3 000, min_df = 2, stop_words = 'english'. Результирующая матрица имеет размерность 2 225 × 3 000 и характеризуется высокой разреженностью (около 96%). Среднее число ненулевых слов в документе составляет около 120. Матрица хранится в формате SciPy.sparse для эффективного использования памяти.</w:t>
      </w:r>
    </w:p>
    <w:p w:rsidR="00FC2A09" w:rsidRDefault="00F0761E">
      <w:pPr>
        <w:spacing w:before="240" w:after="120" w:line="360" w:lineRule="auto"/>
        <w:ind w:firstLine="709"/>
      </w:pPr>
      <w:r>
        <w:rPr>
          <w:b/>
          <w:bCs/>
        </w:rPr>
        <w:t>4.3.6 Анализ биграмм</w:t>
      </w:r>
    </w:p>
    <w:p w:rsidR="00FC2A09" w:rsidRDefault="00F0761E">
      <w:pPr>
        <w:spacing w:after="120" w:line="360" w:lineRule="auto"/>
        <w:ind w:firstLine="709"/>
        <w:jc w:val="both"/>
      </w:pPr>
      <w:r>
        <w:t xml:space="preserve">Анализ двухсловных сочетаний (биграмм) выявил характерные устойчивые выражения корпуса: «prime minister», «mobile phones», «stock market», «world cup», «music industry». Биграммы обогащают представление </w:t>
        <w:lastRenderedPageBreak/>
        <w:t>текста, позволяя учесть контекстные связи между словами. Наиболее частая биграмма — «prime minister» (политические статьи).</w:t>
      </w:r>
    </w:p>
    <w:p w:rsidR="00FC2A09" w:rsidRDefault="00F0761E">
      <w:pPr>
        <w:spacing w:before="120" w:after="60"/>
        <w:jc w:val="center"/>
      </w:pPr>
      <w:r>
        <w:rPr>
          <w:noProof/>
        </w:rPr>
        <w:drawing>
          <wp:inline distT="0" distB="0" distL="0" distR="0">
            <wp:extent cx="4572000" cy="1905000"/>
            <wp:effectExtent l="0" t="0" r="0" b="0"/>
            <wp:docPr id="19" name="Рисунок 19 – Распределение статей по категориям (BBC News)" descr="Рисунок 19 – Распределение статей по категориям (BBC News)" title="Рисунок 19 – Распределение статей по категориям (BBC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572000" cy="1905000"/>
                    </a:xfrm>
                    <a:prstGeom prst="rect">
                      <a:avLst/>
                    </a:prstGeom>
                  </pic:spPr>
                </pic:pic>
              </a:graphicData>
            </a:graphic>
          </wp:inline>
        </w:drawing>
      </w:r>
    </w:p>
    <w:p w:rsidR="00FC2A09" w:rsidRDefault="00F0761E">
      <w:pPr>
        <w:spacing w:after="180"/>
        <w:jc w:val="center"/>
      </w:pPr>
      <w:r>
        <w:rPr>
          <w:b/>
          <w:bCs/>
          <w:i/>
          <w:iCs/>
          <w:sz w:val="24"/>
          <w:szCs w:val="24"/>
        </w:rPr>
        <w:t>Рисунок 19 – Распределение статей по категориям (BBC News)</w:t>
      </w:r>
    </w:p>
    <w:p w:rsidR="00FC2A09" w:rsidRDefault="00F0761E">
      <w:pPr>
        <w:spacing w:before="120" w:after="60"/>
        <w:jc w:val="center"/>
      </w:pPr>
      <w:r>
        <w:rPr>
          <w:noProof/>
        </w:rPr>
        <w:drawing>
          <wp:inline distT="0" distB="0" distL="0" distR="0">
            <wp:extent cx="4572000" cy="1905000"/>
            <wp:effectExtent l="0" t="0" r="0" b="0"/>
            <wp:docPr id="20" name="Рисунок 20 – Анализ длины текстовых статей по категориям" descr="Рисунок 20 – Анализ длины текстовых статей по категориям" title="Рисунок 20 – Анализ длины текстовых статей по категори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572000" cy="1905000"/>
                    </a:xfrm>
                    <a:prstGeom prst="rect">
                      <a:avLst/>
                    </a:prstGeom>
                  </pic:spPr>
                </pic:pic>
              </a:graphicData>
            </a:graphic>
          </wp:inline>
        </w:drawing>
      </w:r>
    </w:p>
    <w:p w:rsidR="00FC2A09" w:rsidRDefault="00F0761E">
      <w:pPr>
        <w:spacing w:after="180"/>
        <w:jc w:val="center"/>
      </w:pPr>
      <w:r>
        <w:rPr>
          <w:b/>
          <w:bCs/>
          <w:i/>
          <w:iCs/>
          <w:sz w:val="24"/>
          <w:szCs w:val="24"/>
        </w:rPr>
        <w:t>Рисунок 20 – Анализ длины текстовых статей по категориям</w:t>
      </w:r>
    </w:p>
    <w:p w:rsidR="00FC2A09" w:rsidRDefault="00F0761E">
      <w:pPr>
        <w:spacing w:before="120" w:after="60"/>
        <w:jc w:val="center"/>
      </w:pPr>
      <w:r>
        <w:rPr>
          <w:noProof/>
        </w:rPr>
        <w:drawing>
          <wp:inline distT="0" distB="0" distL="0" distR="0">
            <wp:extent cx="4381500" cy="3067050"/>
            <wp:effectExtent l="0" t="0" r="0" b="0"/>
            <wp:docPr id="21" name="Рисунок 21 – Топ-20 наиболее частых слов в корпусе BBC News" descr="Рисунок 21 – Топ-20 наиболее частых слов в корпусе BBC News" title="Рисунок 21 – Топ-20 наиболее частых слов в корпусе BBC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81500" cy="3067050"/>
                    </a:xfrm>
                    <a:prstGeom prst="rect">
                      <a:avLst/>
                    </a:prstGeom>
                  </pic:spPr>
                </pic:pic>
              </a:graphicData>
            </a:graphic>
          </wp:inline>
        </w:drawing>
      </w:r>
    </w:p>
    <w:p w:rsidR="00FC2A09" w:rsidRDefault="00F0761E">
      <w:pPr>
        <w:spacing w:after="180"/>
        <w:jc w:val="center"/>
      </w:pPr>
      <w:r>
        <w:rPr>
          <w:b/>
          <w:bCs/>
          <w:i/>
          <w:iCs/>
          <w:sz w:val="24"/>
          <w:szCs w:val="24"/>
        </w:rPr>
        <w:t>Рисунок 21 – Топ-20 наиболее частых слов в корпусе BBC News</w:t>
      </w:r>
    </w:p>
    <w:p w:rsidR="00FC2A09" w:rsidRDefault="00F0761E">
      <w:pPr>
        <w:spacing w:before="120" w:after="60"/>
        <w:jc w:val="center"/>
      </w:pPr>
      <w:r>
        <w:rPr>
          <w:noProof/>
        </w:rPr>
        <w:lastRenderedPageBreak/>
        <w:drawing>
          <wp:inline distT="0" distB="0" distL="0" distR="0">
            <wp:extent cx="4572000" cy="1762125"/>
            <wp:effectExtent l="0" t="0" r="0" b="0"/>
            <wp:docPr id="22" name="Рисунок 22 – TF-IDF анализ ключевых терминов по категориям" descr="Рисунок 22 – TF-IDF анализ ключевых терминов по категориям" title="Рисунок 22 – TF-IDF анализ ключевых терминов по категори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572000" cy="1762125"/>
                    </a:xfrm>
                    <a:prstGeom prst="rect">
                      <a:avLst/>
                    </a:prstGeom>
                  </pic:spPr>
                </pic:pic>
              </a:graphicData>
            </a:graphic>
          </wp:inline>
        </w:drawing>
      </w:r>
    </w:p>
    <w:p w:rsidR="00FC2A09" w:rsidRDefault="00F0761E">
      <w:pPr>
        <w:spacing w:after="180"/>
        <w:jc w:val="center"/>
      </w:pPr>
      <w:r>
        <w:rPr>
          <w:b/>
          <w:bCs/>
          <w:i/>
          <w:iCs/>
          <w:sz w:val="24"/>
          <w:szCs w:val="24"/>
        </w:rPr>
        <w:t>Рисунок 22 – TF-IDF анализ ключевых терминов по категориям</w:t>
      </w:r>
    </w:p>
    <w:p w:rsidR="00FC2A09" w:rsidRDefault="00F0761E">
      <w:pPr>
        <w:spacing w:before="120" w:after="60"/>
        <w:jc w:val="center"/>
      </w:pPr>
      <w:r>
        <w:rPr>
          <w:noProof/>
        </w:rPr>
        <w:drawing>
          <wp:inline distT="0" distB="0" distL="0" distR="0">
            <wp:extent cx="4381500" cy="2628900"/>
            <wp:effectExtent l="0" t="0" r="0" b="0"/>
            <wp:docPr id="23" name="Рисунок 23 – Топ-10 биграмм корпуса BBC News" descr="Рисунок 23 – Топ-10 биграмм корпуса BBC News" title="Рисунок 23 – Топ-10 биграмм корпуса BBC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81500" cy="2628900"/>
                    </a:xfrm>
                    <a:prstGeom prst="rect">
                      <a:avLst/>
                    </a:prstGeom>
                  </pic:spPr>
                </pic:pic>
              </a:graphicData>
            </a:graphic>
          </wp:inline>
        </w:drawing>
      </w:r>
    </w:p>
    <w:p w:rsidR="00FC2A09" w:rsidRDefault="00F0761E">
      <w:pPr>
        <w:spacing w:after="180"/>
        <w:jc w:val="center"/>
      </w:pPr>
      <w:r>
        <w:rPr>
          <w:b/>
          <w:bCs/>
          <w:i/>
          <w:iCs/>
          <w:sz w:val="24"/>
          <w:szCs w:val="24"/>
        </w:rPr>
        <w:t>Рисунок 23 – Топ-10 биграмм корпуса BBC News</w:t>
      </w:r>
    </w:p>
    <w:p>
      <w:pPr>
        <w:pStyle w:val="Heading4"/>
      </w:pPr>
      <w:r>
        <w:rPr/>
        <w:t xml:space="preserve">4.3.7 Примеры текстов с разметкой</w:t>
      </w:r>
    </w:p>
    <w:p>
      <w:pPr>
        <w:jc w:val="both"/>
      </w:pPr>
      <w:r>
        <w:rPr>
          <w:rFonts w:ascii="Times New Roman" w:hAnsi="Times New Roman"/>
          <w:sz w:val="28"/>
          <w:szCs w:val="28"/>
        </w:rPr>
        <w:t xml:space="preserve">Пример 5. Категория «entertainment» — текст: «Pop star Madonna has confirmed she will headline the Live 8 concert in London's Hyde Park. The show is part of a series of global concerts...», метка: entertainment. Пример 4. Категория «tech» — текст: «The net's most popular search engine Google is planning to expand its services...», метка: tech. Пример 3. Категория «politics» — текст: «Prime Minister Tony Blair has faced fresh calls to resign over the Iraq war...», метка: politics. Пример 2. Категория «business» — текст: «The UK's manufacturing sector expanded for the third consecutive month, figures show...», метка: business. Пример 1. Категория «sport» — текст: «England coach Sven-Goran Eriksson has named his squad for the World Cup qualifying match...», метка: sport.</w:t>
      </w:r>
    </w:p>
    <w:p>
      <w:pPr>
        <w:pStyle w:val="Heading3"/>
      </w:pPr>
      <w:r>
        <w:rPr/>
        <w:t xml:space="preserve">4.4 Ограничения и смещения датасета</w:t>
      </w:r>
    </w:p>
    <w:p>
      <w:pPr>
        <w:jc w:val="both"/>
      </w:pPr>
      <w:r>
        <w:rPr>
          <w:rFonts w:ascii="Times New Roman" w:hAnsi="Times New Roman"/>
          <w:sz w:val="28"/>
          <w:szCs w:val="28"/>
        </w:rPr>
        <w:t xml:space="preserve">Потенциальные смещения и ограничения. Датасет охватывает только 2004–2005 годы — тематика и лексика новостных категорий с тех пор существенно изменилась (например, «tech» в 2005 году описывает broadband и DVD, тогда как современные технологические новости посвящены ИИ и облачным вычислениям). Все тексты написаны на британском английском языке BBC, что создаёт смещение стиля. Датасет не содержит персональных данных (PII): имена упомянутых лиц не являются идентифицирующей информацией в контексте новостного архива. Возможные проблемы переноса: модель, обученная на данных BBC 2004–2005, может плохо переносится на современные новостные ресурсы или другие языки.</w:t>
      </w:r>
    </w:p>
    <w:p w:rsidR="00FC2A09" w:rsidRDefault="00F0761E">
      <w:pPr>
        <w:spacing w:before="240" w:after="120" w:line="360" w:lineRule="auto"/>
        <w:jc w:val="center"/>
      </w:pPr>
      <w:r>
        <w:rPr>
          <w:b/>
          <w:bCs/>
        </w:rPr>
        <w:t>Вывод по разделу 4</w:t>
      </w:r>
    </w:p>
    <w:p w:rsidR="00FC2A09" w:rsidRDefault="00F0761E">
      <w:pPr>
        <w:spacing w:after="120" w:line="360" w:lineRule="auto"/>
        <w:ind w:firstLine="709"/>
        <w:jc w:val="both"/>
      </w:pPr>
      <w:r>
        <w:t>В ходе первичного анализа датасета BBC News (2 225 статей, 5 категорий) установлено: распределение по категориям практически сбалансировано; средняя длина статьи — 390 слов; TF-IDF матрица (2 225 × 500) и BoW матрица (2 225 × 3 000) характеризуются высокой разреженностью; ключевые слова хорошо дифференцируют категории. Датасет пригоден для задачи многоклассовой классификации текстов с использованием логистической регрессии, SVM, наивного байесовского классификатора или трансформерных моделей. Исходный код анализа размещён в репозитории GitHub.</w:t>
      </w:r>
    </w:p>
    <w:p w:rsidR="00FC2A09" w:rsidRDefault="00F0761E">
      <w:r>
        <w:br w:type="page"/>
      </w:r>
    </w:p>
    <w:p w:rsidR="00FC2A09" w:rsidRDefault="00F0761E">
      <w:pPr>
        <w:pStyle w:val="1"/>
        <w:pageBreakBefore/>
      </w:pPr>
      <w:r>
        <w:lastRenderedPageBreak/>
        <w:t>ЗАКЛЮЧЕНИЕ</w:t>
      </w:r>
    </w:p>
    <w:p w:rsidR="00FC2A09" w:rsidRDefault="00F0761E">
      <w:pPr>
        <w:spacing w:after="120" w:line="360" w:lineRule="auto"/>
        <w:ind w:firstLine="709"/>
        <w:jc w:val="both"/>
      </w:pPr>
      <w:r>
        <w:t>В ходе выполнения курсового проекта получены практические навыки поиска и первичного анализа наборов данных различных типов, применяемых в задачах искусственного интеллекта.</w:t>
      </w:r>
    </w:p>
    <w:p w:rsidR="00FC2A09" w:rsidRDefault="00F0761E">
      <w:pPr>
        <w:spacing w:after="120" w:line="360" w:lineRule="auto"/>
        <w:ind w:firstLine="709"/>
        <w:jc w:val="both"/>
      </w:pPr>
      <w:r>
        <w:t>В соответствии с поставленными задачами были подобраны и исследованы четыре набора данных с платформы Kaggle: World Happiness Report 2015–2021 (табличные данные), Power Consumption of Tetouan City (временные ряды), Chest X-Ray Pneumonia (изображения) и BBC News Classification (текстовые данные).</w:t>
      </w:r>
    </w:p>
    <w:p w:rsidR="00FC2A09" w:rsidRDefault="00F0761E">
      <w:pPr>
        <w:spacing w:after="120" w:line="360" w:lineRule="auto"/>
        <w:ind w:firstLine="709"/>
        <w:jc w:val="both"/>
      </w:pPr>
      <w:r>
        <w:t>По каждому набору данных разработана и реализована программа на языке Python, выполняющая первичный анализ: загрузку и отображение структуры данных, вычисление описательных статистик, выявление пропущенных значений и выбросов, визуализацию распределений, а также специфический анализ, соответствующий типу данных (корреляционный анализ — для табличных данных; сезонная декомпозиция, SNR и корреляционный анализ каналов — для временных рядов; анализ гистограмм яркости и средних изображений — для изображений; TF-IDF и частотный анализ — для текстов).</w:t>
      </w:r>
    </w:p>
    <w:p w:rsidR="00FC2A09" w:rsidRDefault="00F0761E">
      <w:pPr>
        <w:spacing w:after="120" w:line="360" w:lineRule="auto"/>
        <w:ind w:firstLine="709"/>
        <w:jc w:val="both"/>
      </w:pPr>
      <w:r>
        <w:t>Основные результаты анализа:</w:t>
      </w:r>
    </w:p>
    <w:p w:rsidR="00FC2A09" w:rsidRDefault="00F0761E">
      <w:pPr>
        <w:spacing w:after="80" w:line="360" w:lineRule="auto"/>
        <w:ind w:left="709" w:hanging="360"/>
        <w:jc w:val="both"/>
      </w:pPr>
      <w:r>
        <w:t>– датасет World Happiness Report 2015–2021 не содержит пропусков и пригоден для регрессии; выявлена мультиколлинеарность ВВП и продолжительности жизни (r = 0,85);</w:t>
      </w:r>
    </w:p>
    <w:p w:rsidR="00FC2A09" w:rsidRDefault="00F0761E">
      <w:pPr>
        <w:spacing w:after="80" w:line="360" w:lineRule="auto"/>
        <w:ind w:left="709" w:hanging="360"/>
        <w:jc w:val="both"/>
      </w:pPr>
      <w:r>
        <w:t>– датасет Power Consumption of Tetouan City не содержит пропусков; выбросы (≈1,2%) являются реальными летними пиками; каналы потребления высококоррелированы (r &gt; 0,87); SNR декомпозиции — 17,1 дБ (оценка «Отлично»);</w:t>
      </w:r>
    </w:p>
    <w:p w:rsidR="00FC2A09" w:rsidRDefault="00F0761E">
      <w:pPr>
        <w:spacing w:after="80" w:line="360" w:lineRule="auto"/>
        <w:ind w:left="709" w:hanging="360"/>
        <w:jc w:val="both"/>
      </w:pPr>
      <w:r>
        <w:t xml:space="preserve">– датасет Chest X-Ray Pneumonia характеризуется выраженным дисбалансом классов (73%/27%) и неоднородными размерами </w:t>
        <w:lastRenderedPageBreak/>
        <w:t>изображений; пневмонийные снимки имеют повышенную яркость и контраст;</w:t>
      </w:r>
    </w:p>
    <w:p w:rsidR="00FC2A09" w:rsidRDefault="00F0761E">
      <w:pPr>
        <w:spacing w:after="80" w:line="360" w:lineRule="auto"/>
        <w:ind w:left="709" w:hanging="360"/>
        <w:jc w:val="both"/>
      </w:pPr>
      <w:r>
        <w:t>– датасет BBC News хорошо сбалансирован по категориям; TF-IDF матрица высокой разреженности позволяет эффективно различать категории по ключевым словам.</w:t>
      </w:r>
    </w:p>
    <w:p w:rsidR="00FC2A09" w:rsidRDefault="00FC2A09"/>
    <w:p w:rsidR="00FC2A09" w:rsidRDefault="00F0761E">
      <w:pPr>
        <w:spacing w:after="120" w:line="360" w:lineRule="auto"/>
        <w:ind w:firstLine="709"/>
        <w:jc w:val="both"/>
      </w:pPr>
      <w:r>
        <w:t>Исходный код всех разработанных программ размещён в публичном репозитории системы контроля версий Git по адресу: https://github.com/ERICSON535/coursework-data-analysis (дата обращения: 2026 г.).</w:t>
      </w:r>
    </w:p>
    <w:p w:rsidR="00FC2A09" w:rsidRDefault="00F0761E">
      <w:pPr>
        <w:spacing w:after="120" w:line="360" w:lineRule="auto"/>
        <w:ind w:firstLine="709"/>
        <w:jc w:val="both"/>
      </w:pPr>
      <w:r>
        <w:t>Таким образом, все поставленные задачи курсового проекта успешно выполнены, цель достигнута.</w:t>
      </w:r>
    </w:p>
    <w:p w:rsidR="00FC2A09" w:rsidRDefault="00F0761E">
      <w:r>
        <w:br w:type="page"/>
      </w:r>
    </w:p>
    <w:p w:rsidR="00FC2A09" w:rsidRPr="008921EC" w:rsidRDefault="00F0761E">
      <w:pPr>
        <w:pStyle w:val="1"/>
        <w:pageBreakBefore/>
        <w:rPr>
          <w:lang w:val="en-US"/>
        </w:rPr>
      </w:pPr>
      <w:r>
        <w:lastRenderedPageBreak/>
        <w:t>СПИСОК</w:t>
      </w:r>
      <w:r>
        <w:rPr>
          <w:lang w:val="en-US"/>
        </w:rPr>
        <w:t xml:space="preserve"> </w:t>
      </w:r>
      <w:r>
        <w:t>ИСПОЛЬЗОВАННЫХ</w:t>
      </w:r>
      <w:r>
        <w:rPr>
          <w:lang w:val="en-US"/>
        </w:rPr>
        <w:t xml:space="preserve"> </w:t>
      </w:r>
      <w:r>
        <w:t>ИСТОЧНИКОВ</w:t>
      </w:r>
    </w:p>
    <w:p w:rsidR="00FC2A09" w:rsidRPr="008921EC" w:rsidRDefault="00F0761E">
      <w:pPr>
        <w:spacing w:after="120" w:line="360" w:lineRule="auto"/>
        <w:jc w:val="both"/>
        <w:rPr>
          <w:lang w:val="en-US"/>
        </w:rPr>
      </w:pPr>
      <w:r>
        <w:rPr>
          <w:lang w:val="en-US"/>
        </w:rPr>
        <w:t>1. Alam S., Yao N. The impact of preprocessing steps on the accuracy of machine learning algorithms in sentiment analysis // Comput Math Organ Theory. — 2019. — Vol. 25. — P. 319–335. — DOI: 10.1007/s10588-018-9266-8.</w:t>
      </w:r>
    </w:p>
    <w:p w:rsidR="00FC2A09" w:rsidRPr="008921EC" w:rsidRDefault="00F0761E">
      <w:pPr>
        <w:spacing w:after="120" w:line="360" w:lineRule="auto"/>
        <w:jc w:val="both"/>
        <w:rPr>
          <w:lang w:val="en-US"/>
        </w:rPr>
      </w:pPr>
      <w:r>
        <w:rPr>
          <w:lang w:val="en-US"/>
        </w:rPr>
        <w:t>2. He H., Garcia E. A. Learning from imbalanced data // IEEE Transactions on Knowledge and Data Engineering. — 2009. — Vol. 21, No. 9. — P. 1263–1284.</w:t>
      </w:r>
    </w:p>
    <w:p w:rsidR="00FC2A09" w:rsidRPr="008921EC" w:rsidRDefault="00F0761E">
      <w:pPr>
        <w:spacing w:after="120" w:line="360" w:lineRule="auto"/>
        <w:jc w:val="both"/>
        <w:rPr>
          <w:lang w:val="en-US"/>
        </w:rPr>
      </w:pPr>
      <w:r>
        <w:rPr>
          <w:lang w:val="en-US"/>
        </w:rPr>
        <w:t>3. Box G. E. P., Jenkins G. M., Reinsel G. C. Time Series Analysis: Forecasting and Control. 5th ed. — Hoboken: Wiley, 2015. — 712 p.</w:t>
      </w:r>
    </w:p>
    <w:p w:rsidR="00FC2A09" w:rsidRPr="008921EC" w:rsidRDefault="00F0761E">
      <w:pPr>
        <w:spacing w:after="120" w:line="360" w:lineRule="auto"/>
        <w:jc w:val="both"/>
        <w:rPr>
          <w:lang w:val="en-US"/>
        </w:rPr>
      </w:pPr>
      <w:r>
        <w:rPr>
          <w:lang w:val="en-US"/>
        </w:rPr>
        <w:t>4. Tzanetakis G., Cook P. Musical genre classification of audio signals // IEEE Transactions on Speech and Audio Processing. — 2002. — Vol. 10, No. 5. — P. 293–302.</w:t>
      </w:r>
    </w:p>
    <w:p w:rsidR="00FC2A09" w:rsidRPr="008921EC" w:rsidRDefault="00F0761E">
      <w:pPr>
        <w:spacing w:after="120" w:line="360" w:lineRule="auto"/>
        <w:jc w:val="both"/>
        <w:rPr>
          <w:lang w:val="en-US"/>
        </w:rPr>
      </w:pPr>
      <w:r>
        <w:rPr>
          <w:lang w:val="en-US"/>
        </w:rPr>
        <w:t>5. Anguita D., Ghio A., Oneto L., Parra X., Reyes-Ortiz J. L. A Public Domain Dataset for Human Activity Recognition Using Smartphones // ESANN 2013. — 2013.</w:t>
      </w:r>
    </w:p>
    <w:p w:rsidR="00FC2A09" w:rsidRPr="008921EC" w:rsidRDefault="00F0761E">
      <w:pPr>
        <w:spacing w:after="120" w:line="360" w:lineRule="auto"/>
        <w:jc w:val="both"/>
        <w:rPr>
          <w:lang w:val="en-US"/>
        </w:rPr>
      </w:pPr>
      <w:r>
        <w:rPr>
          <w:lang w:val="en-US"/>
        </w:rPr>
        <w:t>6. Kercheval A. N. The economics of happiness // Journal of Economic Perspectives. — 2012.</w:t>
      </w:r>
    </w:p>
    <w:p w:rsidR="00FC2A09" w:rsidRPr="008921EC" w:rsidRDefault="00F0761E">
      <w:pPr>
        <w:spacing w:after="120" w:line="360" w:lineRule="auto"/>
        <w:jc w:val="both"/>
        <w:rPr>
          <w:lang w:val="en-US"/>
        </w:rPr>
      </w:pPr>
      <w:r>
        <w:rPr>
          <w:lang w:val="en-US"/>
        </w:rPr>
        <w:t>7. Датасет World Happiness Report 2015–2021. — URL: https://www.kaggle.com/datasets/mathurinache/world-happiness-report (дата обращения: 01.06.2026).</w:t>
      </w:r>
      <w:r/>
      <w:r>
        <w:rPr>
          <w:lang w:val="en-US"/>
        </w:rPr>
      </w:r>
      <w:r/>
      <w:r>
        <w:rPr>
          <w:lang w:val="en-US"/>
        </w:rPr>
      </w:r>
      <w:r/>
      <w:r>
        <w:rPr>
          <w:lang w:val="en-US"/>
        </w:rPr>
      </w:r>
    </w:p>
    <w:p w:rsidR="00FC2A09" w:rsidRPr="008921EC" w:rsidRDefault="00F0761E">
      <w:pPr>
        <w:spacing w:after="120" w:line="360" w:lineRule="auto"/>
        <w:jc w:val="both"/>
        <w:rPr>
          <w:lang w:val="en-US"/>
        </w:rPr>
      </w:pPr>
      <w:r>
        <w:rPr>
          <w:lang w:val="en-US"/>
        </w:rPr>
        <w:t>8. Датасет Power Consumption of Tetouan City. — URL: https://www.kaggle.com/datasets/fedesoriano/electric-power-consumption (дата обращения: 01.06.2026).</w:t>
      </w:r>
      <w:r/>
      <w:r>
        <w:rPr>
          <w:lang w:val="en-US"/>
        </w:rPr>
      </w:r>
      <w:r/>
      <w:r>
        <w:rPr>
          <w:lang w:val="en-US"/>
        </w:rPr>
      </w:r>
      <w:r/>
      <w:r>
        <w:rPr>
          <w:lang w:val="en-US"/>
        </w:rPr>
      </w:r>
    </w:p>
    <w:p w:rsidR="00FC2A09" w:rsidRPr="008921EC" w:rsidRDefault="00F0761E">
      <w:pPr>
        <w:spacing w:after="120" w:line="360" w:lineRule="auto"/>
        <w:jc w:val="both"/>
        <w:rPr>
          <w:lang w:val="en-US"/>
        </w:rPr>
      </w:pPr>
      <w:r>
        <w:rPr>
          <w:lang w:val="en-US"/>
        </w:rPr>
        <w:t xml:space="preserve">9. </w:t>
      </w:r>
      <w:r>
        <w:t>Датасет</w:t>
      </w:r>
      <w:r>
        <w:rPr>
          <w:lang w:val="en-US"/>
        </w:rPr>
        <w:t xml:space="preserve"> Chest X-Ray Images (Pneumonia). — URL: https://www.kaggle.com/datasets/paultimothymooney/chest-xray-pneumonia (</w:t>
      </w:r>
      <w:r>
        <w:t>дата</w:t>
      </w:r>
      <w:r>
        <w:rPr>
          <w:lang w:val="en-US"/>
        </w:rPr>
        <w:t xml:space="preserve"> </w:t>
      </w:r>
      <w:r>
        <w:t>обращения</w:t>
      </w:r>
      <w:r>
        <w:rPr>
          <w:lang w:val="en-US"/>
        </w:rPr>
        <w:t>: 2026).</w:t>
      </w:r>
    </w:p>
    <w:p w:rsidR="00FC2A09" w:rsidRPr="008921EC" w:rsidRDefault="00F0761E">
      <w:pPr>
        <w:spacing w:after="120" w:line="360" w:lineRule="auto"/>
        <w:jc w:val="both"/>
        <w:rPr>
          <w:lang w:val="en-US"/>
        </w:rPr>
      </w:pPr>
      <w:r>
        <w:rPr>
          <w:lang w:val="en-US"/>
        </w:rPr>
        <w:lastRenderedPageBreak/>
        <w:t xml:space="preserve">10. </w:t>
      </w:r>
      <w:r>
        <w:t>Датасет</w:t>
      </w:r>
      <w:r>
        <w:rPr>
          <w:lang w:val="en-US"/>
        </w:rPr>
        <w:t xml:space="preserve"> BBC News Classification. — URL: https://www.kaggle.com/datasets/alfathterry91/bbc-news-classification (</w:t>
      </w:r>
      <w:r>
        <w:t>дата</w:t>
      </w:r>
      <w:r>
        <w:rPr>
          <w:lang w:val="en-US"/>
        </w:rPr>
        <w:t xml:space="preserve"> </w:t>
      </w:r>
      <w:r>
        <w:t>обращения</w:t>
      </w:r>
      <w:r>
        <w:rPr>
          <w:lang w:val="en-US"/>
        </w:rPr>
        <w:t>: 2026).</w:t>
      </w:r>
    </w:p>
    <w:p w:rsidR="00FC2A09" w:rsidRDefault="00F0761E">
      <w:pPr>
        <w:spacing w:after="120" w:line="360" w:lineRule="auto"/>
        <w:jc w:val="both"/>
      </w:pPr>
      <w:r>
        <w:t>11. Репозиторий исходного кода курсового проекта. — URL: https://github.com/ERICSON535/coursework-data-analysis (дата обращения: 01.06.2026).</w:t>
      </w:r>
    </w:p>
    <w:sectPr w:rsidR="00FC2A09">
      <w:footerReference w:type="default" r:id="rId31"/>
      <w:pgSz w:w="11906" w:h="16838"/>
      <w:pgMar w:top="1134" w:right="992"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761E" w:rsidRDefault="00F0761E">
      <w:r>
        <w:separator/>
      </w:r>
    </w:p>
  </w:endnote>
  <w:endnote w:type="continuationSeparator" w:id="0">
    <w:p w:rsidR="00F0761E" w:rsidRDefault="00F076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2A09" w:rsidRDefault="00F0761E">
    <w:pPr>
      <w:jc w:val="center"/>
    </w:pPr>
    <w:r>
      <w:rPr>
        <w:sz w:val="24"/>
        <w:szCs w:val="24"/>
      </w:rPr>
      <w:fldChar w:fldCharType="begin"/>
    </w:r>
    <w:r>
      <w:rPr>
        <w:sz w:val="24"/>
        <w:szCs w:val="24"/>
      </w:rPr>
      <w:instrText>PAGE</w:instrText>
    </w:r>
    <w:r w:rsidR="008921EC">
      <w:rPr>
        <w:sz w:val="24"/>
        <w:szCs w:val="24"/>
      </w:rPr>
      <w:fldChar w:fldCharType="separate"/>
    </w:r>
    <w:r w:rsidR="008921EC">
      <w:rPr>
        <w:noProof/>
        <w:sz w:val="24"/>
        <w:szCs w:val="24"/>
      </w:rPr>
      <w:t>3</w:t>
    </w:r>
    <w:r>
      <w:rPr>
        <w:sz w:val="24"/>
        <w:szCs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2A09" w:rsidRDefault="00F0761E">
    <w:pPr>
      <w:jc w:val="center"/>
    </w:pPr>
    <w:r>
      <w:rPr>
        <w:sz w:val="24"/>
        <w:szCs w:val="24"/>
      </w:rPr>
      <w:fldChar w:fldCharType="begin"/>
    </w:r>
    <w:r>
      <w:rPr>
        <w:sz w:val="24"/>
        <w:szCs w:val="24"/>
      </w:rPr>
      <w:instrText>PAGE</w:instrText>
    </w:r>
    <w:r w:rsidR="008921EC">
      <w:rPr>
        <w:sz w:val="24"/>
        <w:szCs w:val="24"/>
      </w:rPr>
      <w:fldChar w:fldCharType="separate"/>
    </w:r>
    <w:r w:rsidR="008921EC">
      <w:rPr>
        <w:noProof/>
        <w:sz w:val="24"/>
        <w:szCs w:val="24"/>
      </w:rPr>
      <w:t>30</w:t>
    </w:r>
    <w:r>
      <w:rPr>
        <w:sz w:val="24"/>
        <w:szCs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761E" w:rsidRDefault="00F0761E">
      <w:r>
        <w:separator/>
      </w:r>
    </w:p>
  </w:footnote>
  <w:footnote w:type="continuationSeparator" w:id="0">
    <w:p w:rsidR="00F0761E" w:rsidRDefault="00F0761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74E7D"/>
    <w:multiLevelType w:val="hybridMultilevel"/>
    <w:tmpl w:val="8A58FC46"/>
    <w:lvl w:ilvl="0" w:tplc="98687994">
      <w:start w:val="1"/>
      <w:numFmt w:val="bullet"/>
      <w:lvlText w:val="●"/>
      <w:lvlJc w:val="left"/>
      <w:pPr>
        <w:ind w:left="720" w:hanging="360"/>
      </w:pPr>
    </w:lvl>
    <w:lvl w:ilvl="1" w:tplc="82821608">
      <w:start w:val="1"/>
      <w:numFmt w:val="bullet"/>
      <w:lvlText w:val="○"/>
      <w:lvlJc w:val="left"/>
      <w:pPr>
        <w:ind w:left="1440" w:hanging="360"/>
      </w:pPr>
    </w:lvl>
    <w:lvl w:ilvl="2" w:tplc="9E687144">
      <w:start w:val="1"/>
      <w:numFmt w:val="bullet"/>
      <w:lvlText w:val="■"/>
      <w:lvlJc w:val="left"/>
      <w:pPr>
        <w:ind w:left="2160" w:hanging="360"/>
      </w:pPr>
    </w:lvl>
    <w:lvl w:ilvl="3" w:tplc="9C66872E">
      <w:start w:val="1"/>
      <w:numFmt w:val="bullet"/>
      <w:lvlText w:val="●"/>
      <w:lvlJc w:val="left"/>
      <w:pPr>
        <w:ind w:left="2880" w:hanging="360"/>
      </w:pPr>
    </w:lvl>
    <w:lvl w:ilvl="4" w:tplc="90E893A2">
      <w:start w:val="1"/>
      <w:numFmt w:val="bullet"/>
      <w:lvlText w:val="○"/>
      <w:lvlJc w:val="left"/>
      <w:pPr>
        <w:ind w:left="3600" w:hanging="360"/>
      </w:pPr>
    </w:lvl>
    <w:lvl w:ilvl="5" w:tplc="28B40E80">
      <w:start w:val="1"/>
      <w:numFmt w:val="bullet"/>
      <w:lvlText w:val="■"/>
      <w:lvlJc w:val="left"/>
      <w:pPr>
        <w:ind w:left="4320" w:hanging="360"/>
      </w:pPr>
    </w:lvl>
    <w:lvl w:ilvl="6" w:tplc="A2A05AFA">
      <w:start w:val="1"/>
      <w:numFmt w:val="bullet"/>
      <w:lvlText w:val="●"/>
      <w:lvlJc w:val="left"/>
      <w:pPr>
        <w:ind w:left="5040" w:hanging="360"/>
      </w:pPr>
    </w:lvl>
    <w:lvl w:ilvl="7" w:tplc="A3C2B37E">
      <w:start w:val="1"/>
      <w:numFmt w:val="bullet"/>
      <w:lvlText w:val="●"/>
      <w:lvlJc w:val="left"/>
      <w:pPr>
        <w:ind w:left="5760" w:hanging="360"/>
      </w:pPr>
    </w:lvl>
    <w:lvl w:ilvl="8" w:tplc="5E2E9CD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A09"/>
    <w:rsid w:val="008921EC"/>
    <w:rsid w:val="00F0761E"/>
    <w:rsid w:val="00FC2A0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C24E5"/>
  <w15:docId w15:val="{5794BCCA-8858-4D46-9A0B-4E95BE069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8"/>
        <w:szCs w:val="28"/>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jc w:val="both"/>
    </w:pPr>
  </w:style>
  <w:style w:type="paragraph" w:styleId="1">
    <w:name w:val="heading 1"/>
    <w:qFormat/>
    <w:pPr>
      <w:spacing w:before="480" w:after="240" w:line="360" w:lineRule="auto"/>
      <w:jc w:val="center"/>
      <w:outlineLvl w:val="0"/>
    </w:pPr>
    <w:rPr>
      <w:b/>
      <w:bCs/>
    </w:rPr>
  </w:style>
  <w:style w:type="paragraph" w:styleId="2">
    <w:name w:val="heading 2"/>
    <w:qFormat/>
    <w:pPr>
      <w:spacing w:before="360" w:after="120" w:line="360" w:lineRule="auto"/>
      <w:outlineLvl w:val="1"/>
    </w:pPr>
    <w:rPr>
      <w:b/>
      <w:bCs/>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35</Pages>
  <Words>4955</Words>
  <Characters>28247</Characters>
  <Application>Microsoft Office Word</Application>
  <DocSecurity>0</DocSecurity>
  <Lines>235</Lines>
  <Paragraphs>66</Paragraphs>
  <ScaleCrop>false</ScaleCrop>
  <Company/>
  <LinksUpToDate>false</LinksUpToDate>
  <CharactersWithSpaces>33136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кирилл уряшев</cp:lastModifiedBy>
  <cp:revision>2</cp:revision>
  <dcterms:created xsi:type="dcterms:W3CDTF">2026-06-09T17:53:00Z</dcterms:created>
  <dcterms:modified xsi:type="dcterms:W3CDTF">2026-06-09T17:56:00Z</dcterms:modified>
</cp:coreProperties>
</file>