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1493eb02a8c9cd9c69d2e8ffa6f4150bb0551d0"/>
    <w:p>
      <w:pPr>
        <w:pStyle w:val="Heading1"/>
      </w:pPr>
      <w:r>
        <w:t xml:space="preserve">Activity 3 — Preprocessing, Feature Engineering, EDA and Quality Report</w:t>
      </w:r>
    </w:p>
    <w:p>
      <w:pPr>
        <w:pStyle w:val="FirstParagraph"/>
      </w:pPr>
      <w:r>
        <w:t xml:space="preserve">Everything here is regenerated by the scripts in</w:t>
      </w:r>
      <w:r>
        <w:t xml:space="preserve"> </w:t>
      </w:r>
      <w:r>
        <w:rPr>
          <w:rStyle w:val="VerbatimChar"/>
        </w:rPr>
        <w:t xml:space="preserve">src/</w:t>
      </w:r>
      <w:r>
        <w:t xml:space="preserve"> </w:t>
      </w:r>
      <w:r>
        <w:t xml:space="preserve">(run order in</w:t>
      </w:r>
      <w:r>
        <w:t xml:space="preserve"> </w:t>
      </w:r>
      <w:r>
        <w:rPr>
          <w:rStyle w:val="VerbatimChar"/>
        </w:rPr>
        <w:t xml:space="preserve">README.md</w:t>
      </w:r>
      <w:r>
        <w:t xml:space="preserve">). Numbers come from</w:t>
      </w:r>
      <w:r>
        <w:t xml:space="preserve"> </w:t>
      </w:r>
      <w:r>
        <w:rPr>
          <w:rStyle w:val="VerbatimChar"/>
        </w:rPr>
        <w:t xml:space="preserve">results/eda_summary.json</w:t>
      </w:r>
      <w:r>
        <w:t xml:space="preserve">,</w:t>
      </w:r>
      <w:r>
        <w:t xml:space="preserve"> </w:t>
      </w:r>
      <w:r>
        <w:rPr>
          <w:rStyle w:val="VerbatimChar"/>
        </w:rPr>
        <w:t xml:space="preserve">results/project_summary_t0.csv</w:t>
      </w:r>
      <w:r>
        <w:t xml:space="preserve">,</w:t>
      </w:r>
      <w:r>
        <w:t xml:space="preserve"> </w:t>
      </w:r>
      <w:r>
        <w:rPr>
          <w:rStyle w:val="VerbatimChar"/>
        </w:rPr>
        <w:t xml:space="preserve">results/leakage_checks.json</w:t>
      </w:r>
      <w:r>
        <w:t xml:space="preserve"> </w:t>
      </w:r>
      <w:r>
        <w:t xml:space="preserve">and</w:t>
      </w:r>
      <w:r>
        <w:t xml:space="preserve"> </w:t>
      </w:r>
      <w:r>
        <w:rPr>
          <w:rStyle w:val="VerbatimChar"/>
        </w:rPr>
        <w:t xml:space="preserve">results/matcher_validation_npm.json</w:t>
      </w:r>
      <w:r>
        <w:t xml:space="preserve">.</w:t>
      </w:r>
    </w:p>
    <w:bookmarkStart w:id="20" w:name="Xb492208301918d66182b1a90f7b2e400a1997de"/>
    <w:p>
      <w:pPr>
        <w:pStyle w:val="Heading2"/>
      </w:pPr>
      <w:r>
        <w:t xml:space="preserve">1. Pipeline</w:t>
      </w:r>
    </w:p>
    <w:tbl>
      <w:tblPr>
        <w:tblStyle w:val="Table"/>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W w:w="9936" w:type="dxa"/>
        <w:tblLayout w:type="fixed"/>
      </w:tblPr>
      <w:tblGrid>
        <w:gridCol w:w="3312"/>
        <w:gridCol w:w="3312"/>
        <w:gridCol w:w="3312"/>
      </w:tblGrid>
      <w:tr>
        <w:trPr>
          <w:tblHeader w:val="true"/>
        </w:trPr>
        <w:tc>
          <w:tcPr>
            <w:tcW w:w="3312" w:type="dxa"/>
            <w:shd w:val="clear" w:fill="D9E2F3"/>
          </w:tcPr>
          <w:p>
            <w:pPr>
              <w:pStyle w:val="Compact"/>
              <w:jc w:val="left"/>
            </w:pPr>
            <w:r>
              <w:rPr>
                <w:b/>
                <w:sz w:val="19"/>
              </w:rPr>
              <w:t xml:space="preserve">Step</w:t>
            </w:r>
          </w:p>
        </w:tc>
        <w:tc>
          <w:tcPr>
            <w:tcW w:w="3312" w:type="dxa"/>
            <w:shd w:val="clear" w:fill="D9E2F3"/>
          </w:tcPr>
          <w:p>
            <w:pPr>
              <w:pStyle w:val="Compact"/>
              <w:jc w:val="left"/>
            </w:pPr>
            <w:r>
              <w:rPr>
                <w:b/>
                <w:sz w:val="19"/>
              </w:rPr>
              <w:t xml:space="preserve">Script</w:t>
            </w:r>
          </w:p>
        </w:tc>
        <w:tc>
          <w:tcPr>
            <w:tcW w:w="3312" w:type="dxa"/>
            <w:shd w:val="clear" w:fill="D9E2F3"/>
          </w:tcPr>
          <w:p>
            <w:pPr>
              <w:pStyle w:val="Compact"/>
              <w:jc w:val="left"/>
            </w:pPr>
            <w:r>
              <w:rPr>
                <w:b/>
                <w:sz w:val="19"/>
              </w:rPr>
              <w:t xml:space="preserve">Input → Output</w:t>
            </w:r>
          </w:p>
        </w:tc>
      </w:tr>
      <w:tr>
        <w:tc>
          <w:tcPr>
            <w:tcW w:w="3312" w:type="dxa"/>
          </w:tcPr>
          <w:p>
            <w:pPr>
              <w:pStyle w:val="Compact"/>
              <w:jc w:val="left"/>
            </w:pPr>
            <w:r>
              <w:rPr>
                <w:sz w:val="19"/>
              </w:rPr>
              <w:t xml:space="preserve">Select repositories (pre-declared criteria)</w:t>
            </w:r>
          </w:p>
        </w:tc>
        <w:tc>
          <w:tcPr>
            <w:tcW w:w="3312" w:type="dxa"/>
          </w:tcPr>
          <w:p>
            <w:pPr>
              <w:pStyle w:val="Compact"/>
              <w:jc w:val="left"/>
            </w:pPr>
            <w:r>
              <w:rPr>
                <w:rStyle w:val="VerbatimChar"/>
                <w:sz w:val="19"/>
              </w:rPr>
              <w:t xml:space="preserve">00_discover_repos.py</w:t>
            </w:r>
            <w:r>
              <w:rPr>
                <w:sz w:val="19"/>
              </w:rPr>
              <w:t xml:space="preserve">,</w:t>
            </w:r>
            <w:r>
              <w:rPr>
                <w:sz w:val="19"/>
              </w:rPr>
              <w:t xml:space="preserve"> </w:t>
            </w:r>
            <w:r>
              <w:rPr>
                <w:rStyle w:val="VerbatimChar"/>
                <w:sz w:val="19"/>
              </w:rPr>
              <w:t xml:space="preserve">01_select_and_snapshot.py</w:t>
            </w:r>
          </w:p>
        </w:tc>
        <w:tc>
          <w:tcPr>
            <w:tcW w:w="3312" w:type="dxa"/>
          </w:tcPr>
          <w:p>
            <w:pPr>
              <w:pStyle w:val="Compact"/>
              <w:jc w:val="left"/>
            </w:pPr>
            <w:r>
              <w:rPr>
                <w:rStyle w:val="VerbatimChar"/>
                <w:sz w:val="19"/>
              </w:rPr>
              <w:t xml:space="preserve">config/candidates.txt</w:t>
            </w:r>
            <w:r>
              <w:rPr>
                <w:sz w:val="19"/>
              </w:rPr>
              <w:t xml:space="preserve"> </w:t>
            </w:r>
            <w:r>
              <w:rPr>
                <w:sz w:val="19"/>
              </w:rPr>
              <w:t xml:space="preserve">→ 15 repositories; only lockfiles/manifests extracted at the commit on/before 2025-10-08</w:t>
            </w:r>
          </w:p>
        </w:tc>
      </w:tr>
      <w:tr>
        <w:tc>
          <w:tcPr>
            <w:tcW w:w="3312" w:type="dxa"/>
          </w:tcPr>
          <w:p>
            <w:pPr>
              <w:pStyle w:val="Compact"/>
              <w:jc w:val="left"/>
            </w:pPr>
            <w:r>
              <w:rPr>
                <w:sz w:val="19"/>
              </w:rPr>
              <w:t xml:space="preserve">Generate SBOMs</w:t>
            </w:r>
          </w:p>
        </w:tc>
        <w:tc>
          <w:tcPr>
            <w:tcW w:w="3312" w:type="dxa"/>
          </w:tcPr>
          <w:p>
            <w:pPr>
              <w:pStyle w:val="Compact"/>
              <w:jc w:val="left"/>
            </w:pPr>
            <w:r>
              <w:rPr>
                <w:rStyle w:val="VerbatimChar"/>
                <w:sz w:val="19"/>
              </w:rPr>
              <w:t xml:space="preserve">02_make_sboms.py</w:t>
            </w:r>
            <w:r>
              <w:rPr>
                <w:sz w:val="19"/>
              </w:rPr>
              <w:t xml:space="preserve"> </w:t>
            </w:r>
            <w:r>
              <w:rPr>
                <w:sz w:val="19"/>
              </w:rPr>
              <w:t xml:space="preserve">(Syft 1.54.1)</w:t>
            </w:r>
          </w:p>
        </w:tc>
        <w:tc>
          <w:tcPr>
            <w:tcW w:w="3312" w:type="dxa"/>
          </w:tcPr>
          <w:p>
            <w:pPr>
              <w:pStyle w:val="Compact"/>
              <w:jc w:val="left"/>
            </w:pPr>
            <w:r>
              <w:rPr>
                <w:sz w:val="19"/>
              </w:rPr>
              <w:t xml:space="preserve">lockfiles → 15 CycloneDX SBOMs (23,827 components with dependency edges)</w:t>
            </w:r>
          </w:p>
        </w:tc>
      </w:tr>
      <w:tr>
        <w:tc>
          <w:tcPr>
            <w:tcW w:w="3312" w:type="dxa"/>
          </w:tcPr>
          <w:p>
            <w:pPr>
              <w:pStyle w:val="Compact"/>
              <w:jc w:val="left"/>
            </w:pPr>
            <w:r>
              <w:rPr>
                <w:sz w:val="19"/>
              </w:rPr>
              <w:t xml:space="preserve">Parse vulnerability data</w:t>
            </w:r>
          </w:p>
        </w:tc>
        <w:tc>
          <w:tcPr>
            <w:tcW w:w="3312" w:type="dxa"/>
          </w:tcPr>
          <w:p>
            <w:pPr>
              <w:pStyle w:val="Compact"/>
              <w:jc w:val="left"/>
            </w:pPr>
            <w:r>
              <w:rPr>
                <w:rStyle w:val="VerbatimChar"/>
                <w:sz w:val="19"/>
              </w:rPr>
              <w:t xml:space="preserve">03_build_advisory_tables.py</w:t>
            </w:r>
          </w:p>
        </w:tc>
        <w:tc>
          <w:tcPr>
            <w:tcW w:w="3312" w:type="dxa"/>
          </w:tcPr>
          <w:p>
            <w:pPr>
              <w:pStyle w:val="Compact"/>
              <w:jc w:val="left"/>
            </w:pPr>
            <w:r>
              <w:rPr>
                <w:sz w:val="19"/>
              </w:rPr>
              <w:t xml:space="preserve">GitHub advisories (OSV) → 35,568 advisories, 66,201 affected-package rows; CVSS recomputed from vectors</w:t>
            </w:r>
          </w:p>
        </w:tc>
      </w:tr>
      <w:tr>
        <w:tc>
          <w:tcPr>
            <w:tcW w:w="3312" w:type="dxa"/>
          </w:tcPr>
          <w:p>
            <w:pPr>
              <w:pStyle w:val="Compact"/>
              <w:jc w:val="left"/>
            </w:pPr>
            <w:r>
              <w:rPr>
                <w:sz w:val="19"/>
              </w:rPr>
              <w:t xml:space="preserve">Match + graph features</w:t>
            </w:r>
          </w:p>
        </w:tc>
        <w:tc>
          <w:tcPr>
            <w:tcW w:w="3312" w:type="dxa"/>
          </w:tcPr>
          <w:p>
            <w:pPr>
              <w:pStyle w:val="Compact"/>
              <w:jc w:val="left"/>
            </w:pPr>
            <w:r>
              <w:rPr>
                <w:rStyle w:val="VerbatimChar"/>
                <w:sz w:val="19"/>
              </w:rPr>
              <w:t xml:space="preserve">04_match_and_graph.py</w:t>
            </w:r>
            <w:r>
              <w:rPr>
                <w:sz w:val="19"/>
              </w:rPr>
              <w:t xml:space="preserve">,</w:t>
            </w:r>
            <w:r>
              <w:rPr>
                <w:sz w:val="19"/>
              </w:rPr>
              <w:t xml:space="preserve"> </w:t>
            </w:r>
            <w:r>
              <w:rPr>
                <w:rStyle w:val="VerbatimChar"/>
                <w:sz w:val="19"/>
              </w:rPr>
              <w:t xml:space="preserve">versions.py</w:t>
            </w:r>
          </w:p>
        </w:tc>
        <w:tc>
          <w:tcPr>
            <w:tcW w:w="3312" w:type="dxa"/>
          </w:tcPr>
          <w:p>
            <w:pPr>
              <w:pStyle w:val="Compact"/>
              <w:jc w:val="left"/>
            </w:pPr>
            <w:r>
              <w:rPr>
                <w:sz w:val="19"/>
              </w:rPr>
              <w:t xml:space="preserve">SBOM components × advisories published ≤ T (ecosystem-aware version-range logic); depth, fan-in, PageRank, ancestors, descendants</w:t>
            </w:r>
          </w:p>
        </w:tc>
      </w:tr>
      <w:tr>
        <w:tc>
          <w:tcPr>
            <w:tcW w:w="3312" w:type="dxa"/>
          </w:tcPr>
          <w:p>
            <w:pPr>
              <w:pStyle w:val="Compact"/>
              <w:jc w:val="left"/>
            </w:pPr>
            <w:r>
              <w:rPr>
                <w:sz w:val="19"/>
              </w:rPr>
              <w:t xml:space="preserve">Package health</w:t>
            </w:r>
          </w:p>
        </w:tc>
        <w:tc>
          <w:tcPr>
            <w:tcW w:w="3312" w:type="dxa"/>
          </w:tcPr>
          <w:p>
            <w:pPr>
              <w:pStyle w:val="Compact"/>
              <w:jc w:val="left"/>
            </w:pPr>
            <w:r>
              <w:rPr>
                <w:rStyle w:val="VerbatimChar"/>
                <w:sz w:val="19"/>
              </w:rPr>
              <w:t xml:space="preserve">05a_fetch_registry_metadata.py</w:t>
            </w:r>
          </w:p>
        </w:tc>
        <w:tc>
          <w:tcPr>
            <w:tcW w:w="3312" w:type="dxa"/>
          </w:tcPr>
          <w:p>
            <w:pPr>
              <w:pStyle w:val="Compact"/>
              <w:jc w:val="left"/>
            </w:pPr>
            <w:r>
              <w:rPr>
                <w:sz w:val="19"/>
              </w:rPr>
              <w:t xml:space="preserve">379 packages' release histories (immutable dates)</w:t>
            </w:r>
          </w:p>
        </w:tc>
      </w:tr>
      <w:tr>
        <w:tc>
          <w:tcPr>
            <w:tcW w:w="3312" w:type="dxa"/>
          </w:tcPr>
          <w:p>
            <w:pPr>
              <w:pStyle w:val="Compact"/>
              <w:jc w:val="left"/>
            </w:pPr>
            <w:r>
              <w:rPr>
                <w:sz w:val="19"/>
              </w:rPr>
              <w:t xml:space="preserve">Datasets</w:t>
            </w:r>
          </w:p>
        </w:tc>
        <w:tc>
          <w:tcPr>
            <w:tcW w:w="3312" w:type="dxa"/>
          </w:tcPr>
          <w:p>
            <w:pPr>
              <w:pStyle w:val="Compact"/>
              <w:jc w:val="left"/>
            </w:pPr>
            <w:r>
              <w:rPr>
                <w:rStyle w:val="VerbatimChar"/>
                <w:sz w:val="19"/>
              </w:rPr>
              <w:t xml:space="preserve">05b_build_datasets.py</w:t>
            </w:r>
          </w:p>
        </w:tc>
        <w:tc>
          <w:tcPr>
            <w:tcW w:w="3312" w:type="dxa"/>
          </w:tcPr>
          <w:p>
            <w:pPr>
              <w:pStyle w:val="Compact"/>
              <w:jc w:val="left"/>
            </w:pPr>
            <w:r>
              <w:rPr>
                <w:sz w:val="19"/>
              </w:rPr>
              <w:t xml:space="preserve">population cohort table (67,431 rows) and project-findings table (374 rows)</w:t>
            </w:r>
          </w:p>
        </w:tc>
      </w:tr>
      <w:tr>
        <w:tc>
          <w:tcPr>
            <w:tcW w:w="3312" w:type="dxa"/>
          </w:tcPr>
          <w:p>
            <w:pPr>
              <w:pStyle w:val="Compact"/>
              <w:jc w:val="left"/>
            </w:pPr>
            <w:r>
              <w:rPr>
                <w:sz w:val="19"/>
              </w:rPr>
              <w:t xml:space="preserve">Leakage checks</w:t>
            </w:r>
          </w:p>
        </w:tc>
        <w:tc>
          <w:tcPr>
            <w:tcW w:w="3312" w:type="dxa"/>
          </w:tcPr>
          <w:p>
            <w:pPr>
              <w:pStyle w:val="Compact"/>
              <w:jc w:val="left"/>
            </w:pPr>
            <w:r>
              <w:rPr>
                <w:rStyle w:val="VerbatimChar"/>
                <w:sz w:val="19"/>
              </w:rPr>
              <w:t xml:space="preserve">06_leakage_checks.py</w:t>
            </w:r>
          </w:p>
        </w:tc>
        <w:tc>
          <w:tcPr>
            <w:tcW w:w="3312" w:type="dxa"/>
          </w:tcPr>
          <w:p>
            <w:pPr>
              <w:pStyle w:val="Compact"/>
              <w:jc w:val="left"/>
            </w:pPr>
            <w:r>
              <w:rPr>
                <w:sz w:val="19"/>
              </w:rPr>
              <w:t xml:space="preserve">13 automated checks, all pass</w:t>
            </w:r>
          </w:p>
        </w:tc>
      </w:tr>
      <w:tr>
        <w:tc>
          <w:tcPr>
            <w:tcW w:w="3312" w:type="dxa"/>
          </w:tcPr>
          <w:p>
            <w:pPr>
              <w:pStyle w:val="Compact"/>
              <w:jc w:val="left"/>
            </w:pPr>
            <w:r>
              <w:rPr>
                <w:sz w:val="19"/>
              </w:rPr>
              <w:t xml:space="preserve">Provenance and EDA</w:t>
            </w:r>
          </w:p>
        </w:tc>
        <w:tc>
          <w:tcPr>
            <w:tcW w:w="3312" w:type="dxa"/>
          </w:tcPr>
          <w:p>
            <w:pPr>
              <w:pStyle w:val="Compact"/>
              <w:jc w:val="left"/>
            </w:pPr>
            <w:r>
              <w:rPr>
                <w:rStyle w:val="VerbatimChar"/>
                <w:sz w:val="19"/>
              </w:rPr>
              <w:t xml:space="preserve">08_provenance_and_eda.py</w:t>
            </w:r>
          </w:p>
        </w:tc>
        <w:tc>
          <w:tcPr>
            <w:tcW w:w="3312" w:type="dxa"/>
          </w:tcPr>
          <w:p>
            <w:pPr>
              <w:pStyle w:val="Compact"/>
              <w:jc w:val="left"/>
            </w:pPr>
            <w:r>
              <w:rPr>
                <w:sz w:val="19"/>
              </w:rPr>
              <w:t xml:space="preserve">manifest, project summary, EDA summary</w:t>
            </w:r>
          </w:p>
        </w:tc>
      </w:tr>
    </w:tbl>
    <w:bookmarkEnd w:id="20"/>
    <w:bookmarkStart w:id="21" w:name="Xff606a3da2c9c9026ef909d27060eab9427cc59"/>
    <w:p>
      <w:pPr>
        <w:pStyle w:val="Heading2"/>
      </w:pPr>
      <w:r>
        <w:t xml:space="preserve">2. Feature rationale</w:t>
      </w:r>
    </w:p>
    <w:tbl>
      <w:tblPr>
        <w:tblStyle w:val="Table"/>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W w:w="9936" w:type="dxa"/>
        <w:tblLayout w:type="fixed"/>
      </w:tblPr>
      <w:tblGrid>
        <w:gridCol w:w="3312"/>
        <w:gridCol w:w="3312"/>
        <w:gridCol w:w="3312"/>
      </w:tblGrid>
      <w:tr>
        <w:trPr>
          <w:tblHeader w:val="true"/>
        </w:trPr>
        <w:tc>
          <w:tcPr>
            <w:tcW w:w="3312" w:type="dxa"/>
            <w:shd w:val="clear" w:fill="D9E2F3"/>
          </w:tcPr>
          <w:p>
            <w:pPr>
              <w:pStyle w:val="Compact"/>
              <w:jc w:val="left"/>
            </w:pPr>
            <w:r>
              <w:rPr>
                <w:b/>
                <w:sz w:val="19"/>
              </w:rPr>
              <w:t xml:space="preserve">Feature group</w:t>
            </w:r>
          </w:p>
        </w:tc>
        <w:tc>
          <w:tcPr>
            <w:tcW w:w="3312" w:type="dxa"/>
            <w:shd w:val="clear" w:fill="D9E2F3"/>
          </w:tcPr>
          <w:p>
            <w:pPr>
              <w:pStyle w:val="Compact"/>
              <w:jc w:val="left"/>
            </w:pPr>
            <w:r>
              <w:rPr>
                <w:b/>
                <w:sz w:val="19"/>
              </w:rPr>
              <w:t xml:space="preserve">Features</w:t>
            </w:r>
          </w:p>
        </w:tc>
        <w:tc>
          <w:tcPr>
            <w:tcW w:w="3312" w:type="dxa"/>
            <w:shd w:val="clear" w:fill="D9E2F3"/>
          </w:tcPr>
          <w:p>
            <w:pPr>
              <w:pStyle w:val="Compact"/>
              <w:jc w:val="left"/>
            </w:pPr>
            <w:r>
              <w:rPr>
                <w:b/>
                <w:sz w:val="19"/>
              </w:rPr>
              <w:t xml:space="preserve">Why (evidence)</w:t>
            </w:r>
          </w:p>
        </w:tc>
      </w:tr>
      <w:tr>
        <w:tc>
          <w:tcPr>
            <w:tcW w:w="3312" w:type="dxa"/>
          </w:tcPr>
          <w:p>
            <w:pPr>
              <w:pStyle w:val="Compact"/>
              <w:jc w:val="left"/>
            </w:pPr>
            <w:r>
              <w:rPr>
                <w:sz w:val="19"/>
              </w:rPr>
              <w:t xml:space="preserve">Severity</w:t>
            </w:r>
          </w:p>
        </w:tc>
        <w:tc>
          <w:tcPr>
            <w:tcW w:w="3312" w:type="dxa"/>
          </w:tcPr>
          <w:p>
            <w:pPr>
              <w:pStyle w:val="Compact"/>
              <w:jc w:val="left"/>
            </w:pPr>
            <w:r>
              <w:rPr>
                <w:rStyle w:val="VerbatimChar"/>
                <w:sz w:val="19"/>
              </w:rPr>
              <w:t xml:space="preserve">cvss_base</w:t>
            </w:r>
            <w:r>
              <w:rPr>
                <w:sz w:val="19"/>
              </w:rPr>
              <w:t xml:space="preserve">,</w:t>
            </w:r>
            <w:r>
              <w:rPr>
                <w:sz w:val="19"/>
              </w:rPr>
              <w:t xml:space="preserve"> </w:t>
            </w:r>
            <w:r>
              <w:rPr>
                <w:rStyle w:val="VerbatimChar"/>
                <w:sz w:val="19"/>
              </w:rPr>
              <w:t xml:space="preserve">sev_rank</w:t>
            </w:r>
            <w:r>
              <w:rPr>
                <w:sz w:val="19"/>
              </w:rPr>
              <w:t xml:space="preserve">, vector components (AV, AC, PR, UI, SC, C, I, A)</w:t>
            </w:r>
          </w:p>
        </w:tc>
        <w:tc>
          <w:tcPr>
            <w:tcW w:w="3312" w:type="dxa"/>
          </w:tcPr>
          <w:p>
            <w:pPr>
              <w:pStyle w:val="Compact"/>
              <w:jc w:val="left"/>
            </w:pPr>
            <w:r>
              <w:rPr>
                <w:sz w:val="19"/>
              </w:rPr>
              <w:t xml:space="preserve">Standard severity descriptors; the baseline's signal and the thing to beat (L03, L04).</w:t>
            </w:r>
          </w:p>
        </w:tc>
      </w:tr>
      <w:tr>
        <w:tc>
          <w:tcPr>
            <w:tcW w:w="3312" w:type="dxa"/>
          </w:tcPr>
          <w:p>
            <w:pPr>
              <w:pStyle w:val="Compact"/>
              <w:jc w:val="left"/>
            </w:pPr>
            <w:r>
              <w:rPr>
                <w:sz w:val="19"/>
              </w:rPr>
              <w:t xml:space="preserve">Advisory descriptors</w:t>
            </w:r>
          </w:p>
        </w:tc>
        <w:tc>
          <w:tcPr>
            <w:tcW w:w="3312" w:type="dxa"/>
          </w:tcPr>
          <w:p>
            <w:pPr>
              <w:pStyle w:val="Compact"/>
              <w:jc w:val="left"/>
            </w:pPr>
            <w:r>
              <w:rPr>
                <w:rStyle w:val="VerbatimChar"/>
                <w:sz w:val="19"/>
              </w:rPr>
              <w:t xml:space="preserve">cwe_primary</w:t>
            </w:r>
            <w:r>
              <w:rPr>
                <w:sz w:val="19"/>
              </w:rPr>
              <w:t xml:space="preserve">,</w:t>
            </w:r>
            <w:r>
              <w:rPr>
                <w:sz w:val="19"/>
              </w:rPr>
              <w:t xml:space="preserve"> </w:t>
            </w:r>
            <w:r>
              <w:rPr>
                <w:rStyle w:val="VerbatimChar"/>
                <w:sz w:val="19"/>
              </w:rPr>
              <w:t xml:space="preserve">n_advisories</w:t>
            </w:r>
            <w:r>
              <w:rPr>
                <w:sz w:val="19"/>
              </w:rPr>
              <w:t xml:space="preserve">,</w:t>
            </w:r>
            <w:r>
              <w:rPr>
                <w:sz w:val="19"/>
              </w:rPr>
              <w:t xml:space="preserve"> </w:t>
            </w:r>
            <w:r>
              <w:rPr>
                <w:rStyle w:val="VerbatimChar"/>
                <w:sz w:val="19"/>
              </w:rPr>
              <w:t xml:space="preserve">n_affected_packages</w:t>
            </w:r>
            <w:r>
              <w:rPr>
                <w:sz w:val="19"/>
              </w:rPr>
              <w:t xml:space="preserve">,</w:t>
            </w:r>
            <w:r>
              <w:rPr>
                <w:sz w:val="19"/>
              </w:rPr>
              <w:t xml:space="preserve"> </w:t>
            </w:r>
            <w:r>
              <w:rPr>
                <w:rStyle w:val="VerbatimChar"/>
                <w:sz w:val="19"/>
              </w:rPr>
              <w:t xml:space="preserve">n_ecosystems</w:t>
            </w:r>
            <w:r>
              <w:rPr>
                <w:sz w:val="19"/>
              </w:rPr>
              <w:t xml:space="preserve">,</w:t>
            </w:r>
            <w:r>
              <w:rPr>
                <w:sz w:val="19"/>
              </w:rPr>
              <w:t xml:space="preserve"> </w:t>
            </w:r>
            <w:r>
              <w:rPr>
                <w:rStyle w:val="VerbatimChar"/>
                <w:sz w:val="19"/>
              </w:rPr>
              <w:t xml:space="preserve">has_fix</w:t>
            </w:r>
            <w:r>
              <w:rPr>
                <w:sz w:val="19"/>
              </w:rPr>
              <w:t xml:space="preserve">, ecosystem flags</w:t>
            </w:r>
          </w:p>
        </w:tc>
        <w:tc>
          <w:tcPr>
            <w:tcW w:w="3312" w:type="dxa"/>
          </w:tcPr>
          <w:p>
            <w:pPr>
              <w:pStyle w:val="Compact"/>
              <w:jc w:val="left"/>
            </w:pPr>
            <w:r>
              <w:rPr>
                <w:sz w:val="19"/>
              </w:rPr>
              <w:t xml:space="preserve">Weakness class and breadth plausibly relate to exploitability; cheap and available at disclosure.</w:t>
            </w:r>
          </w:p>
        </w:tc>
      </w:tr>
      <w:tr>
        <w:tc>
          <w:tcPr>
            <w:tcW w:w="3312" w:type="dxa"/>
          </w:tcPr>
          <w:p>
            <w:pPr>
              <w:pStyle w:val="Compact"/>
              <w:jc w:val="left"/>
            </w:pPr>
            <w:r>
              <w:rPr>
                <w:sz w:val="19"/>
              </w:rPr>
              <w:t xml:space="preserve">Age</w:t>
            </w:r>
          </w:p>
        </w:tc>
        <w:tc>
          <w:tcPr>
            <w:tcW w:w="3312" w:type="dxa"/>
          </w:tcPr>
          <w:p>
            <w:pPr>
              <w:pStyle w:val="Compact"/>
              <w:jc w:val="left"/>
            </w:pPr>
            <w:r>
              <w:rPr>
                <w:rStyle w:val="VerbatimChar"/>
                <w:sz w:val="19"/>
              </w:rPr>
              <w:t xml:space="preserve">advisory_age_days</w:t>
            </w:r>
          </w:p>
        </w:tc>
        <w:tc>
          <w:tcPr>
            <w:tcW w:w="3312" w:type="dxa"/>
          </w:tcPr>
          <w:p>
            <w:pPr>
              <w:pStyle w:val="Compact"/>
              <w:jc w:val="left"/>
            </w:pPr>
            <w:r>
              <w:rPr>
                <w:sz w:val="19"/>
              </w:rPr>
              <w:t xml:space="preserve">Exploitation evidence accrues with time since disclosure; also controls right-censoring.</w:t>
            </w:r>
          </w:p>
        </w:tc>
      </w:tr>
      <w:tr>
        <w:tc>
          <w:tcPr>
            <w:tcW w:w="3312" w:type="dxa"/>
          </w:tcPr>
          <w:p>
            <w:pPr>
              <w:pStyle w:val="Compact"/>
              <w:jc w:val="left"/>
            </w:pPr>
            <w:r>
              <w:rPr>
                <w:sz w:val="19"/>
              </w:rPr>
              <w:t xml:space="preserve">Exploitation evidence</w:t>
            </w:r>
          </w:p>
        </w:tc>
        <w:tc>
          <w:tcPr>
            <w:tcW w:w="3312" w:type="dxa"/>
          </w:tcPr>
          <w:p>
            <w:pPr>
              <w:pStyle w:val="Compact"/>
              <w:jc w:val="left"/>
            </w:pPr>
            <w:r>
              <w:rPr>
                <w:rStyle w:val="VerbatimChar"/>
                <w:sz w:val="19"/>
              </w:rPr>
              <w:t xml:space="preserve">poc_count_at_T</w:t>
            </w:r>
            <w:r>
              <w:rPr>
                <w:sz w:val="19"/>
              </w:rPr>
              <w:t xml:space="preserve">,</w:t>
            </w:r>
            <w:r>
              <w:rPr>
                <w:sz w:val="19"/>
              </w:rPr>
              <w:t xml:space="preserve"> </w:t>
            </w:r>
            <w:r>
              <w:rPr>
                <w:rStyle w:val="VerbatimChar"/>
                <w:sz w:val="19"/>
              </w:rPr>
              <w:t xml:space="preserve">epss_at_T</w:t>
            </w:r>
            <w:r>
              <w:rPr>
                <w:sz w:val="19"/>
              </w:rPr>
              <w:t xml:space="preserve">,</w:t>
            </w:r>
            <w:r>
              <w:rPr>
                <w:sz w:val="19"/>
              </w:rPr>
              <w:t xml:space="preserve"> </w:t>
            </w:r>
            <w:r>
              <w:rPr>
                <w:rStyle w:val="VerbatimChar"/>
                <w:sz w:val="19"/>
              </w:rPr>
              <w:t xml:space="preserve">epss_pct_at_T</w:t>
            </w:r>
          </w:p>
        </w:tc>
        <w:tc>
          <w:tcPr>
            <w:tcW w:w="3312" w:type="dxa"/>
          </w:tcPr>
          <w:p>
            <w:pPr>
              <w:pStyle w:val="Compact"/>
              <w:jc w:val="left"/>
            </w:pPr>
            <w:r>
              <w:rPr>
                <w:sz w:val="19"/>
              </w:rPr>
              <w:t xml:space="preserve">Direct evidence of attacker interest (L03, L04). EPSS pending.</w:t>
            </w:r>
          </w:p>
        </w:tc>
      </w:tr>
      <w:tr>
        <w:tc>
          <w:tcPr>
            <w:tcW w:w="3312" w:type="dxa"/>
          </w:tcPr>
          <w:p>
            <w:pPr>
              <w:pStyle w:val="Compact"/>
              <w:jc w:val="left"/>
            </w:pPr>
            <w:r>
              <w:rPr>
                <w:sz w:val="19"/>
              </w:rPr>
              <w:t xml:space="preserve">Graph position (project level)</w:t>
            </w:r>
          </w:p>
        </w:tc>
        <w:tc>
          <w:tcPr>
            <w:tcW w:w="3312" w:type="dxa"/>
          </w:tcPr>
          <w:p>
            <w:pPr>
              <w:pStyle w:val="Compact"/>
              <w:jc w:val="left"/>
            </w:pPr>
            <w:r>
              <w:rPr>
                <w:rStyle w:val="VerbatimChar"/>
                <w:sz w:val="19"/>
              </w:rPr>
              <w:t xml:space="preserve">is_direct</w:t>
            </w:r>
            <w:r>
              <w:rPr>
                <w:sz w:val="19"/>
              </w:rPr>
              <w:t xml:space="preserve">,</w:t>
            </w:r>
            <w:r>
              <w:rPr>
                <w:sz w:val="19"/>
              </w:rPr>
              <w:t xml:space="preserve"> </w:t>
            </w:r>
            <w:r>
              <w:rPr>
                <w:rStyle w:val="VerbatimChar"/>
                <w:sz w:val="19"/>
              </w:rPr>
              <w:t xml:space="preserve">depth</w:t>
            </w:r>
            <w:r>
              <w:rPr>
                <w:sz w:val="19"/>
              </w:rPr>
              <w:t xml:space="preserve">,</w:t>
            </w:r>
            <w:r>
              <w:rPr>
                <w:sz w:val="19"/>
              </w:rPr>
              <w:t xml:space="preserve"> </w:t>
            </w:r>
            <w:r>
              <w:rPr>
                <w:rStyle w:val="VerbatimChar"/>
                <w:sz w:val="19"/>
              </w:rPr>
              <w:t xml:space="preserve">fan_in</w:t>
            </w:r>
            <w:r>
              <w:rPr>
                <w:sz w:val="19"/>
              </w:rPr>
              <w:t xml:space="preserve">,</w:t>
            </w:r>
            <w:r>
              <w:rPr>
                <w:sz w:val="19"/>
              </w:rPr>
              <w:t xml:space="preserve"> </w:t>
            </w:r>
            <w:r>
              <w:rPr>
                <w:rStyle w:val="VerbatimChar"/>
                <w:sz w:val="19"/>
              </w:rPr>
              <w:t xml:space="preserve">fan_out</w:t>
            </w:r>
            <w:r>
              <w:rPr>
                <w:sz w:val="19"/>
              </w:rPr>
              <w:t xml:space="preserve">,</w:t>
            </w:r>
            <w:r>
              <w:rPr>
                <w:sz w:val="19"/>
              </w:rPr>
              <w:t xml:space="preserve"> </w:t>
            </w:r>
            <w:r>
              <w:rPr>
                <w:rStyle w:val="VerbatimChar"/>
                <w:sz w:val="19"/>
              </w:rPr>
              <w:t xml:space="preserve">pagerank</w:t>
            </w:r>
            <w:r>
              <w:rPr>
                <w:sz w:val="19"/>
              </w:rPr>
              <w:t xml:space="preserve">,</w:t>
            </w:r>
            <w:r>
              <w:rPr>
                <w:sz w:val="19"/>
              </w:rPr>
              <w:t xml:space="preserve"> </w:t>
            </w:r>
            <w:r>
              <w:rPr>
                <w:rStyle w:val="VerbatimChar"/>
                <w:sz w:val="19"/>
              </w:rPr>
              <w:t xml:space="preserve">ancestors</w:t>
            </w:r>
            <w:r>
              <w:rPr>
                <w:sz w:val="19"/>
              </w:rPr>
              <w:t xml:space="preserve">,</w:t>
            </w:r>
            <w:r>
              <w:rPr>
                <w:sz w:val="19"/>
              </w:rPr>
              <w:t xml:space="preserve"> </w:t>
            </w:r>
            <w:r>
              <w:rPr>
                <w:rStyle w:val="VerbatimChar"/>
                <w:sz w:val="19"/>
              </w:rPr>
              <w:t xml:space="preserve">descendants</w:t>
            </w:r>
          </w:p>
        </w:tc>
        <w:tc>
          <w:tcPr>
            <w:tcW w:w="3312" w:type="dxa"/>
          </w:tcPr>
          <w:p>
            <w:pPr>
              <w:pStyle w:val="Compact"/>
              <w:jc w:val="left"/>
            </w:pPr>
            <w:r>
              <w:rPr>
                <w:sz w:val="19"/>
              </w:rPr>
              <w:t xml:space="preserve">Exposure and blast radius propagate through the dependency structure (L07, L08, L09).</w:t>
            </w:r>
          </w:p>
        </w:tc>
      </w:tr>
      <w:tr>
        <w:tc>
          <w:tcPr>
            <w:tcW w:w="3312" w:type="dxa"/>
          </w:tcPr>
          <w:p>
            <w:pPr>
              <w:pStyle w:val="Compact"/>
              <w:jc w:val="left"/>
            </w:pPr>
            <w:r>
              <w:rPr>
                <w:sz w:val="19"/>
              </w:rPr>
              <w:t xml:space="preserve">Package health (project level)</w:t>
            </w:r>
          </w:p>
        </w:tc>
        <w:tc>
          <w:tcPr>
            <w:tcW w:w="3312" w:type="dxa"/>
          </w:tcPr>
          <w:p>
            <w:pPr>
              <w:pStyle w:val="Compact"/>
              <w:jc w:val="left"/>
            </w:pPr>
            <w:r>
              <w:rPr>
                <w:rStyle w:val="VerbatimChar"/>
                <w:sz w:val="19"/>
              </w:rPr>
              <w:t xml:space="preserve">pkg_age_days</w:t>
            </w:r>
            <w:r>
              <w:rPr>
                <w:sz w:val="19"/>
              </w:rPr>
              <w:t xml:space="preserve">,</w:t>
            </w:r>
            <w:r>
              <w:rPr>
                <w:sz w:val="19"/>
              </w:rPr>
              <w:t xml:space="preserve"> </w:t>
            </w:r>
            <w:r>
              <w:rPr>
                <w:rStyle w:val="VerbatimChar"/>
                <w:sz w:val="19"/>
              </w:rPr>
              <w:t xml:space="preserve">days_since_last_release</w:t>
            </w:r>
            <w:r>
              <w:rPr>
                <w:sz w:val="19"/>
              </w:rPr>
              <w:t xml:space="preserve">,</w:t>
            </w:r>
            <w:r>
              <w:rPr>
                <w:sz w:val="19"/>
              </w:rPr>
              <w:t xml:space="preserve"> </w:t>
            </w:r>
            <w:r>
              <w:rPr>
                <w:rStyle w:val="VerbatimChar"/>
                <w:sz w:val="19"/>
              </w:rPr>
              <w:t xml:space="preserve">releases_prior_12m</w:t>
            </w:r>
            <w:r>
              <w:rPr>
                <w:sz w:val="19"/>
              </w:rPr>
              <w:t xml:space="preserve">,</w:t>
            </w:r>
            <w:r>
              <w:rPr>
                <w:sz w:val="19"/>
              </w:rPr>
              <w:t xml:space="preserve"> </w:t>
            </w:r>
            <w:r>
              <w:rPr>
                <w:rStyle w:val="VerbatimChar"/>
                <w:sz w:val="19"/>
              </w:rPr>
              <w:t xml:space="preserve">installed_version_age_days</w:t>
            </w:r>
            <w:r>
              <w:rPr>
                <w:sz w:val="19"/>
              </w:rPr>
              <w:t xml:space="preserve">,</w:t>
            </w:r>
            <w:r>
              <w:rPr>
                <w:sz w:val="19"/>
              </w:rPr>
              <w:t xml:space="preserve"> </w:t>
            </w:r>
            <w:r>
              <w:rPr>
                <w:rStyle w:val="VerbatimChar"/>
                <w:sz w:val="19"/>
              </w:rPr>
              <w:t xml:space="preserve">version_lag_days</w:t>
            </w:r>
          </w:p>
        </w:tc>
        <w:tc>
          <w:tcPr>
            <w:tcW w:w="3312" w:type="dxa"/>
          </w:tcPr>
          <w:p>
            <w:pPr>
              <w:pStyle w:val="Compact"/>
              <w:jc w:val="left"/>
            </w:pPr>
            <w:r>
              <w:rPr>
                <w:sz w:val="19"/>
              </w:rPr>
              <w:t xml:space="preserve">Abandoned or lagging packages are harder to fix and more likely to stay vulnerable; computed from immutable release dates, so valid as-of T.</w:t>
            </w:r>
          </w:p>
        </w:tc>
      </w:tr>
    </w:tbl>
    <w:p>
      <w:pPr>
        <w:pStyle w:val="BodyText"/>
      </w:pPr>
      <w:r>
        <w:rPr>
          <w:bCs/>
          <w:b/>
        </w:rPr>
        <w:t xml:space="preserve">Deliberately excluded:</w:t>
      </w:r>
      <w:r>
        <w:t xml:space="preserve"> </w:t>
      </w:r>
      <w:r>
        <w:t xml:space="preserve">advisory reference counts and reference types (FIX/REPORT/EVIDENCE), PoC star counts, package deprecation flags and current download counts. These are current values or accrue over time and would leak post-T information.</w:t>
      </w:r>
    </w:p>
    <w:bookmarkEnd w:id="21"/>
    <w:bookmarkStart w:id="22" w:name="X39e77c9c56b2ab89632e7f333b97bfaedfe0dcd"/>
    <w:p>
      <w:pPr>
        <w:pStyle w:val="Heading2"/>
      </w:pPr>
      <w:r>
        <w:t xml:space="preserve">3. Leakage checks (all pass)</w:t>
      </w:r>
    </w:p>
    <w:p>
      <w:pPr>
        <w:pStyle w:val="FirstParagraph"/>
      </w:pPr>
      <w:r>
        <w:t xml:space="preserve">C1 published ≤ T for every row; C2 no label window beyond the cut-off; C3 no duplicate CVE per cohort; C4/C5 candidates exclude already-positive CVEs; C6/C7 positives lie strictly inside (T, T+12m]; C8 development windows end on/before the test snapshot (2025-10-08); C9 feature list contains no label-derived column; C10</w:t>
      </w:r>
      <w:r>
        <w:t xml:space="preserve"> </w:t>
      </w:r>
      <w:r>
        <w:rPr>
          <w:rStyle w:val="VerbatimChar"/>
        </w:rPr>
        <w:t xml:space="preserve">poc_count_at_T</w:t>
      </w:r>
      <w:r>
        <w:t xml:space="preserve"> </w:t>
      </w:r>
      <w:r>
        <w:t xml:space="preserve">independently recomputed from the raw files for 200 rows (0 mismatches); C11 45 of 307 package-version-CVE triples occur in more than one project, so project-level splits must be</w:t>
      </w:r>
      <w:r>
        <w:t xml:space="preserve"> </w:t>
      </w:r>
      <w:r>
        <w:rPr>
          <w:bCs/>
          <w:b/>
        </w:rPr>
        <w:t xml:space="preserve">by project</w:t>
      </w:r>
      <w:r>
        <w:t xml:space="preserve">; C12/C13 project findings use only advisories published ≤ T0 and releases ≤ T0.</w:t>
      </w:r>
      <w:r>
        <w:t xml:space="preserve"> </w:t>
      </w:r>
      <w:r>
        <w:t xml:space="preserve">Residual risks that cannot be tested are listed in</w:t>
      </w:r>
      <w:r>
        <w:t xml:space="preserve"> </w:t>
      </w:r>
      <w:r>
        <w:rPr>
          <w:rStyle w:val="VerbatimChar"/>
        </w:rPr>
        <w:t xml:space="preserve">results/leakage_checks.json</w:t>
      </w:r>
      <w:r>
        <w:t xml:space="preserve"> </w:t>
      </w:r>
      <w:r>
        <w:t xml:space="preserve">and in protocol §8.</w:t>
      </w:r>
    </w:p>
    <w:bookmarkEnd w:id="22"/>
    <w:bookmarkStart w:id="23" w:name="Xee909e6b5fc2082fdd1c45161dd165184f63758"/>
    <w:p>
      <w:pPr>
        <w:pStyle w:val="Heading2"/>
      </w:pPr>
      <w:r>
        <w:t xml:space="preserve">4. Data quality</w:t>
      </w:r>
    </w:p>
    <w:p>
      <w:pPr>
        <w:pStyle w:val="FirstParagraph"/>
      </w:pPr>
      <w:r>
        <w:rPr>
          <w:bCs/>
          <w:b/>
        </w:rPr>
        <w:t xml:space="preserve">SBOMs.</w:t>
      </w:r>
      <w:r>
        <w:t xml:space="preserve"> </w:t>
      </w:r>
      <w:r>
        <w:t xml:space="preserve">15 CycloneDX SBOMs, 23,827 components in total, every dependency edge points to a known component, and the one or two components per SBOM without a package URL (metadata entries) are skipped. Syft reads package-lock.json, yarn.lock, pnpm-lock.yaml, uv.lock and poetry.lock. Graph limitation: "direct" is the set of components with no incoming edge; in monorepos this includes workspace-level dependencies.</w:t>
      </w:r>
    </w:p>
    <w:p>
      <w:pPr>
        <w:pStyle w:val="BodyText"/>
      </w:pPr>
      <w:r>
        <w:rPr>
          <w:bCs/>
          <w:b/>
        </w:rPr>
        <w:t xml:space="preserve">Matcher validation against an independent source.</w:t>
      </w:r>
      <w:r>
        <w:t xml:space="preserve"> </w:t>
      </w:r>
      <w:r>
        <w:t xml:space="preserve">1,279 package-version pairs (579 flagged by us + 700 random unflagged) were checked against npm's own audit endpoint. Recall 100% (npm found nothing we missed); precision 99.5% (11 of 2,088 advisory matches were ours only). Inspection of the cases: webpack-dev-middleware 7.4.5 and devalue are affected by advisories only 2 weeks old that npm's service had not yet ingested; multer 1.4.4-lts.1 is a prerelease-labelled version that npm's range logic excludes but the advisory's range (introduced 0, fixed 2.0.0) includes. These are not matcher errors. PyPI has no equivalent independent check yet (stated limitation). Unit tests of the version-range logic: 9/9 pass; 33 version comparisons (23 PyPI, 10 npm) involved unparsable version strings and were skipped.</w:t>
      </w:r>
    </w:p>
    <w:p>
      <w:pPr>
        <w:pStyle w:val="BodyText"/>
      </w:pPr>
      <w:r>
        <w:rPr>
          <w:bCs/>
          <w:b/>
        </w:rPr>
        <w:t xml:space="preserve">Vulnerability records.</w:t>
      </w:r>
      <w:r>
        <w:t xml:space="preserve"> </w:t>
      </w:r>
      <w:r>
        <w:t xml:space="preserve">35,568 non-withdrawn advisories; 1,212 withdrawn were dropped; 3,632 have no CVE (cannot be linked to KEV, PoC or EPSS, so excluded from the population dataset); 31,936 unique CVEs. CVSS missing for 6.7% of 2025-cohort CVEs (8.2% across all rows); 2.2% have only a CVSS v4 vector (components mapped);</w:t>
      </w:r>
      <w:r>
        <w:t xml:space="preserve"> </w:t>
      </w:r>
      <w:r>
        <w:rPr>
          <w:rStyle w:val="VerbatimChar"/>
        </w:rPr>
        <w:t xml:space="preserve">cwe_primary</w:t>
      </w:r>
      <w:r>
        <w:t xml:space="preserve"> </w:t>
      </w:r>
      <w:r>
        <w:t xml:space="preserve">missing for 3.2%. All dated fields are complete.</w:t>
      </w:r>
    </w:p>
    <w:bookmarkEnd w:id="23"/>
    <w:bookmarkStart w:id="24" w:name="X16a0240dd87bf1dfb381777b470d0e0f65e46c7"/>
    <w:p>
      <w:pPr>
        <w:pStyle w:val="Heading2"/>
      </w:pPr>
      <w:r>
        <w:t xml:space="preserve">5. Exploratory results — project level (snapshot 2025-10-08)</w:t>
      </w:r>
    </w:p>
    <w:p>
      <w:pPr>
        <w:numPr>
          <w:ilvl w:val="0"/>
          <w:numId w:val="1001"/>
        </w:numPr>
        <w:pStyle w:val="Compact"/>
      </w:pPr>
      <w:r>
        <w:rPr>
          <w:bCs/>
          <w:b/>
        </w:rPr>
        <w:t xml:space="preserve">23,827 components, 267 of them vulnerable (1.1%)</w:t>
      </w:r>
      <w:r>
        <w:t xml:space="preserve">, giving</w:t>
      </w:r>
      <w:r>
        <w:t xml:space="preserve"> </w:t>
      </w:r>
      <w:r>
        <w:rPr>
          <w:bCs/>
          <w:b/>
        </w:rPr>
        <w:t xml:space="preserve">374 findings</w:t>
      </w:r>
      <w:r>
        <w:t xml:space="preserve"> </w:t>
      </w:r>
      <w:r>
        <w:t xml:space="preserve">(357 with a CVE, 17 without). Severity (GitHub label): Moderate 170, High 94, Low 74, Critical 36.</w:t>
      </w:r>
    </w:p>
    <w:p>
      <w:pPr>
        <w:numPr>
          <w:ilvl w:val="0"/>
          <w:numId w:val="1001"/>
        </w:numPr>
        <w:pStyle w:val="Compact"/>
      </w:pPr>
      <w:r>
        <w:rPr>
          <w:bCs/>
          <w:b/>
        </w:rPr>
        <w:t xml:space="preserve">93.9% of findings are in transitive dependencies</w:t>
      </w:r>
      <w:r>
        <w:t xml:space="preserve"> </w:t>
      </w:r>
      <w:r>
        <w:t xml:space="preserve">(91.7% at depth &gt; 1; the 23 direct findings are 6.1%). Scanners that only look at declared dependencies would miss almost everything.</w:t>
      </w:r>
    </w:p>
    <w:p>
      <w:pPr>
        <w:numPr>
          <w:ilvl w:val="0"/>
          <w:numId w:val="1001"/>
        </w:numPr>
        <w:pStyle w:val="Compact"/>
      </w:pPr>
      <w:r>
        <w:rPr>
          <w:bCs/>
          <w:b/>
        </w:rPr>
        <w:t xml:space="preserve">Technical lag is large:</w:t>
      </w:r>
      <w:r>
        <w:t xml:space="preserve"> </w:t>
      </w:r>
      <w:r>
        <w:t xml:space="preserve">median installed-version age 738 days; median lag to the newest release 630 days; median advisory age at T 211 days (many findings were fixable for months).</w:t>
      </w:r>
    </w:p>
    <w:p>
      <w:pPr>
        <w:numPr>
          <w:ilvl w:val="0"/>
          <w:numId w:val="1001"/>
        </w:numPr>
        <w:pStyle w:val="Compact"/>
      </w:pPr>
      <w:r>
        <w:t xml:space="preserve">Findings per project range from 0 (etherpad-lite) to 100 (cal.com); full table in</w:t>
      </w:r>
      <w:r>
        <w:t xml:space="preserve"> </w:t>
      </w:r>
      <w:r>
        <w:rPr>
          <w:rStyle w:val="VerbatimChar"/>
        </w:rPr>
        <w:t xml:space="preserve">results/project_summary_t0.csv</w:t>
      </w:r>
      <w:r>
        <w:t xml:space="preserve">.</w:t>
      </w:r>
    </w:p>
    <w:p>
      <w:pPr>
        <w:numPr>
          <w:ilvl w:val="0"/>
          <w:numId w:val="1001"/>
        </w:numPr>
        <w:pStyle w:val="Compact"/>
      </w:pPr>
      <w:r>
        <w:t xml:space="preserve">For context: if the same 2025 lockfiles were scanned today with today's advisories, the count would be</w:t>
      </w:r>
      <w:r>
        <w:t xml:space="preserve"> </w:t>
      </w:r>
      <w:r>
        <w:rPr>
          <w:bCs/>
          <w:b/>
        </w:rPr>
        <w:t xml:space="preserve">5,016</w:t>
      </w:r>
      <w:r>
        <w:t xml:space="preserve"> </w:t>
      </w:r>
      <w:r>
        <w:t xml:space="preserve">(not 374). This is a contrast of snapshot time, not a trend claim: it shows how quickly disclosed advisories accumulate against pinned versions.</w:t>
      </w:r>
    </w:p>
    <w:p>
      <w:pPr>
        <w:numPr>
          <w:ilvl w:val="0"/>
          <w:numId w:val="1001"/>
        </w:numPr>
        <w:pStyle w:val="Compact"/>
      </w:pPr>
      <w:r>
        <w:t xml:space="preserve">Labelled positives among project findings: 1 KEV-positive, 12 PoC-positive (of 357 / 318 candidates).</w:t>
      </w:r>
    </w:p>
    <w:p>
      <w:pPr>
        <w:numPr>
          <w:ilvl w:val="0"/>
          <w:numId w:val="1001"/>
        </w:numPr>
        <w:pStyle w:val="Compact"/>
      </w:pPr>
      <w:r>
        <w:t xml:space="preserve">Student-owned project: 15 components, 0 known vulnerabilities on 2026-10-13.</w:t>
      </w:r>
    </w:p>
    <w:bookmarkEnd w:id="24"/>
    <w:bookmarkStart w:id="25" w:name="Xaa5fdc3f1a7421d83630c0b0b0a9d6924e6e4d7"/>
    <w:p>
      <w:pPr>
        <w:pStyle w:val="Heading2"/>
      </w:pPr>
      <w:r>
        <w:t xml:space="preserve">6. Population dataset</w:t>
      </w:r>
    </w:p>
    <w:p>
      <w:pPr>
        <w:pStyle w:val="FirstParagraph"/>
      </w:pPr>
      <w:r>
        <w:t xml:space="preserve">67,431 rows (cohorts 12,319 / 15,392 / 18,368 / 21,352). Ecosystem coverage of the test cohort (CVEs per ecosystem, a CVE can span several): Maven 5,841, Packagist 4,285, PyPI 3,747, npm 3,233, Go 2,323, RubyGems 859, crates.io 691, NuGet 689. Positives per cohort: see protocol §6.2.</w:t>
      </w:r>
    </w:p>
    <w:bookmarkEnd w:id="25"/>
    <w:bookmarkStart w:id="26" w:name="Xcfb69a2ed3867abcbf90f0ff7b3552778386d97"/>
    <w:p>
      <w:pPr>
        <w:pStyle w:val="Heading2"/>
      </w:pPr>
      <w:r>
        <w:t xml:space="preserve">7. Known issues carried forward</w:t>
      </w:r>
    </w:p>
    <w:p>
      <w:pPr>
        <w:pStyle w:val="FirstParagraph"/>
      </w:pPr>
      <w:r>
        <w:t xml:space="preserve">EPSS not yet joined; PyPI matcher not independently validated;</w:t>
      </w:r>
      <w:r>
        <w:t xml:space="preserve"> </w:t>
      </w:r>
      <w:r>
        <w:rPr>
          <w:rStyle w:val="VerbatimChar"/>
        </w:rPr>
        <w:t xml:space="preserve">is_direct</w:t>
      </w:r>
      <w:r>
        <w:t xml:space="preserve"> </w:t>
      </w:r>
      <w:r>
        <w:t xml:space="preserve">heuristic; advisory metadata not as-of-T; label proxies. All are listed in protocol §8.</w:t>
      </w:r>
    </w:p>
    <w:bookmarkEnd w:id="26"/>
    <w:bookmarkEnd w:id="27"/>
    <w:sectPr>
      <w:pgSz w:w="12240" w:h="15840"/>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2026-10-14T06:40:38Z</dcterms:created>
  <dcterms:modified xsi:type="dcterms:W3CDTF">2026-10-14T06:40:38Z</dcterms:modified>
</cp:coreProperties>
</file>

<file path=docProps/custom.xml><?xml version="1.0" encoding="utf-8"?>
<Properties xmlns="http://schemas.openxmlformats.org/officeDocument/2006/custom-properties" xmlns:vt="http://schemas.openxmlformats.org/officeDocument/2006/docPropsVTypes"/>
</file>