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ctivity-4--baselines"/>
    <w:p>
      <w:pPr>
        <w:pStyle w:val="Heading1"/>
      </w:pPr>
      <w:r>
        <w:t xml:space="preserve">Activity 4 — Baselines</w:t>
      </w:r>
    </w:p>
    <w:p>
      <w:pPr>
        <w:pStyle w:val="FirstParagraph"/>
      </w:pPr>
      <w:r>
        <w:rPr>
          <w:bCs/>
          <w:b/>
        </w:rPr>
        <w:t xml:space="preserve">Run:</w:t>
      </w:r>
      <w:r>
        <w:t xml:space="preserve"> </w:t>
      </w:r>
      <w:r>
        <w:rPr>
          <w:rStyle w:val="VerbatimChar"/>
        </w:rPr>
        <w:t xml:space="preserve">python src/07_baselines.py</w:t>
      </w:r>
      <w:r>
        <w:t xml:space="preserve"> </w:t>
      </w:r>
      <w:r>
        <w:t xml:space="preserve">(results in</w:t>
      </w:r>
      <w:r>
        <w:t xml:space="preserve"> </w:t>
      </w:r>
      <w:r>
        <w:rPr>
          <w:rStyle w:val="VerbatimChar"/>
        </w:rPr>
        <w:t xml:space="preserve">results/baseline_population_results.csv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results/baseline_project_results.csv</w:t>
      </w:r>
      <w:r>
        <w:t xml:space="preserve">).</w:t>
      </w:r>
      <w:r>
        <w:t xml:space="preserve"> </w:t>
      </w:r>
      <w:r>
        <w:rPr>
          <w:bCs/>
          <w:b/>
        </w:rPr>
        <w:t xml:space="preserve">Held-out test cohort:</w:t>
      </w:r>
      <w:r>
        <w:t xml:space="preserve"> </w:t>
      </w:r>
      <w:r>
        <w:t xml:space="preserve">2025-10-08 (features as-of that date; label window to 2026-10-08). Earlier cohorts are shown for stability only.</w:t>
      </w:r>
    </w:p>
    <w:bookmarkStart w:id="20" w:name="X579d582fea7c7ca2cca957627a95b65a94f53e4"/>
    <w:p>
      <w:pPr>
        <w:pStyle w:val="Heading2"/>
      </w:pPr>
      <w:r>
        <w:t xml:space="preserve">1. Baselines implemented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13536" w:type="dxa"/>
        <w:tblLayout w:type="fixed"/>
      </w:tblPr>
      <w:tblGrid>
        <w:gridCol w:w="4512"/>
        <w:gridCol w:w="4512"/>
        <w:gridCol w:w="4512"/>
      </w:tblGrid>
      <w:tr>
        <w:trPr>
          <w:tblHeader w:val="true"/>
        </w:trPr>
        <w:tc>
          <w:tcPr>
            <w:tcW w:w="4512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tcW w:w="4512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Rule</w:t>
            </w:r>
          </w:p>
        </w:tc>
        <w:tc>
          <w:tcPr>
            <w:tcW w:w="4512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Why it is the right baseline</w:t>
            </w:r>
          </w:p>
        </w:tc>
      </w:tr>
      <w:tr>
        <w:tc>
          <w:tcPr>
            <w:tcW w:w="45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B1</w:t>
            </w:r>
          </w:p>
        </w:tc>
        <w:tc>
          <w:tcPr>
            <w:tcW w:w="45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Rank by CVSS base score, highest first (missing score ranks last)</w:t>
            </w:r>
          </w:p>
        </w:tc>
        <w:tc>
          <w:tcPr>
            <w:tcW w:w="45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What most scanners and teams do today.</w:t>
            </w:r>
          </w:p>
        </w:tc>
      </w:tr>
      <w:tr>
        <w:tc>
          <w:tcPr>
            <w:tcW w:w="45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B2b</w:t>
            </w:r>
          </w:p>
        </w:tc>
        <w:tc>
          <w:tcPr>
            <w:tcW w:w="45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Rank first by "a public GitHub PoC existed at T", then by CVSS</w:t>
            </w:r>
          </w:p>
        </w:tc>
        <w:tc>
          <w:tcPr>
            <w:tcW w:w="45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Transparent exploit-evidence rule;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KEV task only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(for the PoC label every candidate has no PoC at T by construction).</w:t>
            </w:r>
          </w:p>
        </w:tc>
      </w:tr>
      <w:tr>
        <w:tc>
          <w:tcPr>
            <w:tcW w:w="45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B2</w:t>
            </w:r>
          </w:p>
        </w:tc>
        <w:tc>
          <w:tcPr>
            <w:tcW w:w="45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Rank by EPSS at T, then CVSS</w:t>
            </w:r>
          </w:p>
        </w:tc>
        <w:tc>
          <w:tcPr>
            <w:tcW w:w="4512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Implemented but not yet run</w:t>
            </w:r>
            <w:r>
              <w:rPr>
                <w:sz w:val="19"/>
              </w:rPr>
              <w:t xml:space="preserve">: the EPSS host is unreachable from the build environment. Run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src/fetch_epss.py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locally, then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05b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06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07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tcW w:w="45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Random</w:t>
            </w:r>
          </w:p>
        </w:tc>
        <w:tc>
          <w:tcPr>
            <w:tcW w:w="45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Expected AUC 0.5; expected average precision = prevalence; expected recall in the top k% = k%</w:t>
            </w:r>
          </w:p>
        </w:tc>
        <w:tc>
          <w:tcPr>
            <w:tcW w:w="45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Floor for context.</w:t>
            </w:r>
          </w:p>
        </w:tc>
      </w:tr>
    </w:tbl>
    <w:p>
      <w:pPr>
        <w:pStyle w:val="BodyText"/>
      </w:pPr>
      <w:r>
        <w:t xml:space="preserve">Ties (for example many CVEs share CVSS 9.8) are handled by</w:t>
      </w:r>
      <w:r>
        <w:t xml:space="preserve"> </w:t>
      </w:r>
      <w:r>
        <w:rPr>
          <w:bCs/>
          <w:b/>
        </w:rPr>
        <w:t xml:space="preserve">expectation under random tie-breaking</w:t>
      </w:r>
      <w:r>
        <w:t xml:space="preserve">, so results never depend on input order.</w:t>
      </w:r>
    </w:p>
    <w:bookmarkEnd w:id="20"/>
    <w:bookmarkStart w:id="21" w:name="Xbea8f42f8327ae1474bb4bbbcf31c829fb4319f"/>
    <w:p>
      <w:pPr>
        <w:pStyle w:val="Heading2"/>
      </w:pPr>
      <w:r>
        <w:t xml:space="preserve">2. Results — label L1 (</w:t>
      </w:r>
      <w:r>
        <w:rPr>
          <w:rStyle w:val="VerbatimChar"/>
        </w:rPr>
        <w:t xml:space="preserve">kev_12m</w:t>
      </w:r>
      <w:r>
        <w:t xml:space="preserve">: becomes a CISA-KEV entry within 12 months)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13536" w:type="dxa"/>
        <w:tblLayout w:type="fixed"/>
      </w:tblPr>
      <w:tblGrid>
        <w:gridCol w:w="1504"/>
        <w:gridCol w:w="1504"/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Cohort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Baseline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Positives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Prevalence %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ROC AUC (95% CI)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Avg precision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Recall top 1%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Recall top 5% (95% CI)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Recall top 10%</w:t>
            </w:r>
          </w:p>
        </w:tc>
      </w:tr>
      <w:tr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2022-10-08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B1_cvss_only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0.065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0.827 (0.72-0.90)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0.015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0.153 (0.00-0.30)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0.326</w:t>
            </w:r>
          </w:p>
        </w:tc>
      </w:tr>
      <w:tr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2022-10-08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B2b_poc_then_cvss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0.065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0.864 (0.73-0.98)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0.0107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0.246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0.512 (0.20-1.00)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0.575</w:t>
            </w:r>
          </w:p>
        </w:tc>
      </w:tr>
      <w:tr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2023-10-08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B1_cvss_only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0.026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0.8 (0.64-0.94)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0.0007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0.094 (0.00-0.30)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0.209</w:t>
            </w:r>
          </w:p>
        </w:tc>
      </w:tr>
      <w:tr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2023-10-08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B2b_poc_then_cvss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0.026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0.964 (0.91-0.99)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0.0057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0.759 (0.13-1.00)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0.887</w:t>
            </w:r>
          </w:p>
        </w:tc>
      </w:tr>
      <w:tr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2024-10-08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B1_cvss_only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0.027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0.721 (0.54-0.94)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0.0007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0.16 (0.00-0.40)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0.363</w:t>
            </w:r>
          </w:p>
        </w:tc>
      </w:tr>
      <w:tr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2024-10-08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B2b_poc_then_cvss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0.027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0.983 (0.97-0.99)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0.0089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0.36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1.0 (1.00-1.00)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1.0</w:t>
            </w:r>
          </w:p>
        </w:tc>
      </w:tr>
      <w:tr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2025-10-08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B1_cvss_only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0.052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0.787 (0.67-0.91)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0.003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0.167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0.299 (0.09-0.52)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0.449</w:t>
            </w:r>
          </w:p>
        </w:tc>
      </w:tr>
      <w:tr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2025-10-08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B2b_poc_then_cvss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0.052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0.952 (0.90-0.99)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0.0175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0.321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0.818 (0.56-1.00)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0.862</w:t>
            </w:r>
          </w:p>
        </w:tc>
      </w:tr>
    </w:tbl>
    <w:bookmarkEnd w:id="21"/>
    <w:bookmarkStart w:id="22" w:name="X1b490c855193ab77ad45882ade0d895cafedb91"/>
    <w:p>
      <w:pPr>
        <w:pStyle w:val="Heading2"/>
      </w:pPr>
      <w:r>
        <w:t xml:space="preserve">3. Results — label L2 (</w:t>
      </w:r>
      <w:r>
        <w:rPr>
          <w:rStyle w:val="VerbatimChar"/>
        </w:rPr>
        <w:t xml:space="preserve">poc_12m</w:t>
      </w:r>
      <w:r>
        <w:t xml:space="preserve">: first public PoC appears within 12 months)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13536" w:type="dxa"/>
        <w:tblLayout w:type="fixed"/>
      </w:tblPr>
      <w:tblGrid>
        <w:gridCol w:w="1504"/>
        <w:gridCol w:w="1504"/>
        <w:gridCol w:w="1504"/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Cohort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Baseline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Positives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Prevalence %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ROC AUC (95% CI)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Avg precision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Recall top 1%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Recall top 5% (95% CI)</w:t>
            </w:r>
          </w:p>
        </w:tc>
        <w:tc>
          <w:tcPr>
            <w:tcW w:w="150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Recall top 10%</w:t>
            </w:r>
          </w:p>
        </w:tc>
      </w:tr>
      <w:tr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2022-10-08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B1_cvss_only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42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0.355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0.73 (0.65-0.81)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0.0106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0.064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0.213 (0.13-0.30)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0.399</w:t>
            </w:r>
          </w:p>
        </w:tc>
      </w:tr>
      <w:tr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2023-10-08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B1_cvss_only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70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0.474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0.617 (0.56-0.68)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0.0072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0.03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0.103 (0.05-0.15)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0.194</w:t>
            </w:r>
          </w:p>
        </w:tc>
      </w:tr>
      <w:tr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2024-10-08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B1_cvss_only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187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1.066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0.615 (0.58-0.65)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0.0163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0.092 (0.06-0.12)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0.167</w:t>
            </w:r>
          </w:p>
        </w:tc>
      </w:tr>
      <w:tr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2025-10-08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B1_cvss_only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137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0.679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0.663 (0.62-0.71)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0.0124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0.03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0.116 (0.07-0.16)</w:t>
            </w:r>
          </w:p>
        </w:tc>
        <w:tc>
          <w:tcPr>
            <w:tcW w:w="1504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0.251</w:t>
            </w:r>
          </w:p>
        </w:tc>
      </w:tr>
    </w:tbl>
    <w:bookmarkEnd w:id="22"/>
    <w:bookmarkStart w:id="23" w:name="Xf0bc1e323157f92a407feb6aafba05a19eabcfe"/>
    <w:p>
      <w:pPr>
        <w:pStyle w:val="Heading2"/>
      </w:pPr>
      <w:r>
        <w:t xml:space="preserve">4. Project-level results (15 repositories, snapshot 2025-10-08) — descriptive only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13536" w:type="dxa"/>
        <w:tblLayout w:type="fixed"/>
      </w:tblPr>
      <w:tblGrid>
        <w:gridCol w:w="2256"/>
        <w:gridCol w:w="2256"/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w="2256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Label</w:t>
            </w:r>
          </w:p>
        </w:tc>
        <w:tc>
          <w:tcPr>
            <w:tcW w:w="2256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Candidate findings</w:t>
            </w:r>
          </w:p>
        </w:tc>
        <w:tc>
          <w:tcPr>
            <w:tcW w:w="2256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Positives</w:t>
            </w:r>
          </w:p>
        </w:tc>
        <w:tc>
          <w:tcPr>
            <w:tcW w:w="2256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CVSS-only AUC</w:t>
            </w:r>
          </w:p>
        </w:tc>
        <w:tc>
          <w:tcPr>
            <w:tcW w:w="2256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Recall top 10%</w:t>
            </w:r>
          </w:p>
        </w:tc>
        <w:tc>
          <w:tcPr>
            <w:tcW w:w="2256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Recall top 20%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kev_12m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357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0.308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0.0</w:t>
            </w:r>
          </w:p>
        </w:tc>
      </w:tr>
      <w:tr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poc_12m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318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0.65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0.167</w:t>
            </w:r>
          </w:p>
        </w:tc>
        <w:tc>
          <w:tcPr>
            <w:tcW w:w="2256" w:type="dxa"/>
          </w:tcPr>
          <w:p>
            <w:pPr>
              <w:pStyle w:val="Compact"/>
              <w:jc w:val="left"/>
            </w:pPr>
            <w:r>
              <w:rPr>
                <w:sz w:val="17"/>
              </w:rPr>
              <w:t xml:space="preserve">0.42</w:t>
            </w:r>
          </w:p>
        </w:tc>
      </w:tr>
    </w:tbl>
    <w:p>
      <w:pPr>
        <w:pStyle w:val="BodyText"/>
      </w:pPr>
      <w:r>
        <w:t xml:space="preserve">CVSS scores of the 12 PoC-positive findings: 3.7, 4.2, 4.2, 6.4, 6.4, 7.2, 7.5, 7.5, 7.7, 7.7, 9.1, 9.3 (median of all candidate findings: 6.1). The single KEV-positive finding scored 5.3 (all-findings median 6.2).</w:t>
      </w:r>
    </w:p>
    <w:bookmarkEnd w:id="23"/>
    <w:bookmarkStart w:id="24" w:name="Xaaae1a064d6763ed64f137aea5eebd07d01d924"/>
    <w:p>
      <w:pPr>
        <w:pStyle w:val="Heading2"/>
      </w:pPr>
      <w:r>
        <w:t xml:space="preserve">5. What the baselines show (and what they do not)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CVSS is a weak ranker of future exploitation signals.</w:t>
      </w:r>
      <w:r>
        <w:t xml:space="preserve"> </w:t>
      </w:r>
      <w:r>
        <w:t xml:space="preserve">On the test cohort, CVSS-only captures about 12% of future-PoC vulnerabilities in its top 5% (random would capture 5%), with average precision about 1.8 times the prevalence. For KEV it is better (AUC 0.79, top-5% recall 0.30) but the interval is wide (0.09–0.52) because there are only 11 positives.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Exploit-evidence at T helps a lot for KEV.</w:t>
      </w:r>
      <w:r>
        <w:t xml:space="preserve"> </w:t>
      </w:r>
      <w:r>
        <w:t xml:space="preserve">The transparent "PoC first, then CVSS" rule reaches AUC 0.95 and top-5% recall 0.82 (interval 0.56–1.00) on the test cohort, and beat CVSS-only on top-5% recall in every cohort (AUC gains were smaller and intervals overlap in the 2022 cohort). This is a legitimate as-of-T signal (the PoC existed before the KEV listing; no leakage — see leakage checks C5, C10), and it is the bar a learned model must clear in Activity 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Statistical power is low for L1.</w:t>
      </w:r>
      <w:r>
        <w:t xml:space="preserve"> </w:t>
      </w:r>
      <w:r>
        <w:t xml:space="preserve">Positives are 4–11 per cohort. Intervals are wide, cohorts disagree on the exact numbers, and no claim should rest on L1 alone. L2 (42–187 positives) has tighter intervals.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Project-level numbers are anecdotes, not evidence.</w:t>
      </w:r>
      <w:r>
        <w:t xml:space="preserve"> </w:t>
      </w:r>
      <w:r>
        <w:t xml:space="preserve">With 1 KEV and 12 PoC positives, only the direction is informative: CVSS-only ranking puts most PoC-positive findings outside its top 10%.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H1 is only partially tested.</w:t>
      </w:r>
      <w:r>
        <w:t xml:space="preserve"> </w:t>
      </w:r>
      <w:r>
        <w:t xml:space="preserve">The exploit-evidence part (PoC) supports it for KEV; the EPSS part is pending the EPSS download.</w:t>
      </w:r>
    </w:p>
    <w:bookmarkEnd w:id="24"/>
    <w:bookmarkStart w:id="25" w:name="Xfc16542f4036020419f6380c3991cf793b67e54"/>
    <w:p>
      <w:pPr>
        <w:pStyle w:val="Heading2"/>
      </w:pPr>
      <w:r>
        <w:t xml:space="preserve">6. Limitations specific to the baselines</w:t>
      </w:r>
    </w:p>
    <w:p>
      <w:pPr>
        <w:numPr>
          <w:ilvl w:val="0"/>
          <w:numId w:val="1002"/>
        </w:numPr>
        <w:pStyle w:val="Compact"/>
      </w:pPr>
      <w:r>
        <w:t xml:space="preserve">B2b uses PoC existence, which is correlated with the KEV outcome through shared exploitation interest; it is a proxy for the information a defender could have had on day T, not a causal claim.</w:t>
      </w:r>
    </w:p>
    <w:p>
      <w:pPr>
        <w:numPr>
          <w:ilvl w:val="0"/>
          <w:numId w:val="1002"/>
        </w:numPr>
        <w:pStyle w:val="Compact"/>
      </w:pPr>
      <w:r>
        <w:t xml:space="preserve">CVSS vectors are the 2026-10-13 versions of the advisory records (see protocol §8, item 3).</w:t>
      </w:r>
    </w:p>
    <w:p>
      <w:pPr>
        <w:numPr>
          <w:ilvl w:val="0"/>
          <w:numId w:val="1002"/>
        </w:numPr>
        <w:pStyle w:val="Compact"/>
      </w:pPr>
      <w:r>
        <w:t xml:space="preserve">EPSS-based baseline pending; do not quote H1 as confirmed until it is run.</w:t>
      </w:r>
    </w:p>
    <w:bookmarkEnd w:id="25"/>
    <w:bookmarkEnd w:id="26"/>
    <w:sectPr>
      <w:pgSz w:orient="landscape" w:w="15840" w:h="12240"/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2026-10-14T06:40:38Z</dcterms:created>
  <dcterms:modified xsi:type="dcterms:W3CDTF">2026-10-14T06:40:38Z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