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VENDOR SUPPLY AGREEMENT</w:t>
      </w:r>
    </w:p>
    <w:p>
      <w:pPr>
        <w:spacing w:after="40" w:before="0"/>
        <w:jc w:val="center"/>
      </w:pPr>
      <w:r>
        <w:rPr>
          <w:rFonts w:ascii="Arial" w:cs="Arial" w:eastAsia="Arial" w:hAnsi="Arial"/>
          <w:color w:val="2E75B6"/>
          <w:sz w:val="26"/>
          <w:szCs w:val="26"/>
        </w:rPr>
        <w:t xml:space="preserve">Annual Raw Material Procurement Contract</w:t>
      </w:r>
    </w:p>
    <w:p>
      <w:pPr>
        <w:spacing w:after="320" w:before="0"/>
        <w:jc w:val="center"/>
      </w:pPr>
      <w:r>
        <w:rPr>
          <w:rFonts w:ascii="Arial" w:cs="Arial" w:eastAsia="Arial" w:hAnsi="Arial"/>
          <w:color w:val="888888"/>
          <w:sz w:val="20"/>
          <w:szCs w:val="20"/>
        </w:rPr>
        <w:t xml:space="preserve">Contract No: VSA-2024-0047  |  Effective Date: 01 January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BUYER</w:t>
            </w:r>
          </w:p>
        </w:tc>
        <w:tc>
          <w:tcPr>
            <w:tcW w:type="dxa" w:w="468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SUPPLIER</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2"/>
                <w:szCs w:val="22"/>
              </w:rPr>
              <w:t xml:space="preserve">Precision Manufacturing Pvt. Ltd.</w:t>
            </w:r>
          </w:p>
          <w:p>
            <w:r>
              <w:rPr>
                <w:rFonts w:ascii="Arial" w:cs="Arial" w:eastAsia="Arial" w:hAnsi="Arial"/>
                <w:color w:val="555555"/>
                <w:sz w:val="20"/>
                <w:szCs w:val="20"/>
              </w:rPr>
              <w:t xml:space="preserve">GSTIN: 29AABCP1234A1Z5</w:t>
            </w:r>
          </w:p>
          <w:p>
            <w:r>
              <w:rPr>
                <w:rFonts w:ascii="Arial" w:cs="Arial" w:eastAsia="Arial" w:hAnsi="Arial"/>
                <w:color w:val="555555"/>
                <w:sz w:val="20"/>
                <w:szCs w:val="20"/>
              </w:rPr>
              <w:t xml:space="preserve">Plot No. 47, KIADB Industrial Area,</w:t>
            </w:r>
          </w:p>
          <w:p>
            <w:r>
              <w:rPr>
                <w:rFonts w:ascii="Arial" w:cs="Arial" w:eastAsia="Arial" w:hAnsi="Arial"/>
                <w:color w:val="555555"/>
                <w:sz w:val="20"/>
                <w:szCs w:val="20"/>
              </w:rPr>
              <w:t xml:space="preserve">Peenya, Bengaluru - 560058</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2"/>
                <w:szCs w:val="22"/>
              </w:rPr>
              <w:t xml:space="preserve">Agarwal Steel &amp; Alloys Ltd.</w:t>
            </w:r>
          </w:p>
          <w:p>
            <w:r>
              <w:rPr>
                <w:rFonts w:ascii="Arial" w:cs="Arial" w:eastAsia="Arial" w:hAnsi="Arial"/>
                <w:color w:val="555555"/>
                <w:sz w:val="20"/>
                <w:szCs w:val="20"/>
              </w:rPr>
              <w:t xml:space="preserve">GSTIN: 27AAACA5678B1Z3</w:t>
            </w:r>
          </w:p>
          <w:p>
            <w:r>
              <w:rPr>
                <w:rFonts w:ascii="Arial" w:cs="Arial" w:eastAsia="Arial" w:hAnsi="Arial"/>
                <w:color w:val="555555"/>
                <w:sz w:val="20"/>
                <w:szCs w:val="20"/>
              </w:rPr>
              <w:t xml:space="preserve">Survey No. 122, Taloja MIDC,</w:t>
            </w:r>
          </w:p>
          <w:p>
            <w:r>
              <w:rPr>
                <w:rFonts w:ascii="Arial" w:cs="Arial" w:eastAsia="Arial" w:hAnsi="Arial"/>
                <w:color w:val="555555"/>
                <w:sz w:val="20"/>
                <w:szCs w:val="20"/>
              </w:rPr>
              <w:t xml:space="preserve">Navi Mumbai - 410208</w:t>
            </w:r>
          </w:p>
        </w:tc>
      </w:tr>
    </w:tbl>
    <w:p>
      <w:pPr>
        <w:spacing w:after="80" w:before="240"/>
      </w:pPr>
    </w:p>
    <w:p>
      <w:pPr>
        <w:pStyle w:val="Heading1"/>
        <w:spacing w:after="160" w:before="320"/>
      </w:pPr>
      <w:r>
        <w:rPr>
          <w:rFonts w:ascii="Arial" w:cs="Arial" w:eastAsia="Arial" w:hAnsi="Arial"/>
          <w:b/>
          <w:bCs/>
          <w:color w:val="1F4E79"/>
          <w:sz w:val="28"/>
          <w:szCs w:val="28"/>
        </w:rPr>
        <w:t xml:space="preserve">1.  CONTRACT SCOPE AND OVERVIEW</w:t>
      </w:r>
    </w:p>
    <w:p>
      <w:pPr>
        <w:spacing w:after="80" w:before="80"/>
      </w:pPr>
      <w:r>
        <w:rPr>
          <w:rFonts w:ascii="Arial" w:cs="Arial" w:eastAsia="Arial" w:hAnsi="Arial"/>
          <w:sz w:val="22"/>
          <w:szCs w:val="22"/>
        </w:rPr>
        <w:t xml:space="preserve">This Vendor Supply Agreement (hereinafter referred to as the 'Agreement') is entered into between Precision Manufacturing Pvt. Ltd. (hereinafter 'Buyer') and Agarwal Steel &amp; Alloys Ltd. (hereinafter 'Supplier') for the supply of raw materials as specified in Schedule A attached hereto. This Agreement governs all purchase transactions recorded in the ERPNext system under Supplier Code: SUPP-0047 for the contract period.</w:t>
      </w:r>
    </w:p>
    <w:p>
      <w:pPr>
        <w:spacing w:after="80" w:before="80"/>
      </w:pPr>
      <w:r>
        <w:rPr>
          <w:rFonts w:ascii="Arial" w:cs="Arial" w:eastAsia="Arial" w:hAnsi="Arial"/>
          <w:sz w:val="22"/>
          <w:szCs w:val="22"/>
        </w:rPr>
        <w:t xml:space="preserve">The Supplier agrees to supply mild steel sheets, stainless steel rods, and aluminium extrusions as per the specifications defined in the Bill of Materials attached to each Purchase Order raised through the ERPNext procurement module. The Buyer reserves the right to revise quantities by up to twenty percent (20%) above or below the estimated annual volumes without requiring a contract amendment.</w:t>
      </w:r>
    </w:p>
    <w:p>
      <w:pPr>
        <w:pStyle w:val="Heading1"/>
        <w:spacing w:after="160" w:before="320"/>
      </w:pPr>
      <w:r>
        <w:rPr>
          <w:rFonts w:ascii="Arial" w:cs="Arial" w:eastAsia="Arial" w:hAnsi="Arial"/>
          <w:b/>
          <w:bCs/>
          <w:color w:val="1F4E79"/>
          <w:sz w:val="28"/>
          <w:szCs w:val="28"/>
        </w:rPr>
        <w:t xml:space="preserve">2.  CONTRACT PERIOD AND RENEWAL</w:t>
      </w:r>
    </w:p>
    <w:p>
      <w:pPr>
        <w:spacing w:after="80" w:before="200"/>
      </w:pPr>
      <w:r>
        <w:rPr>
          <w:rFonts w:ascii="Arial" w:cs="Arial" w:eastAsia="Arial" w:hAnsi="Arial"/>
          <w:b/>
          <w:bCs/>
          <w:color w:val="1F4E79"/>
          <w:sz w:val="22"/>
          <w:szCs w:val="22"/>
        </w:rPr>
        <w:t xml:space="preserve">2.1  Initial Term</w:t>
      </w:r>
    </w:p>
    <w:p>
      <w:pPr>
        <w:spacing w:after="100" w:before="60"/>
      </w:pPr>
      <w:r>
        <w:rPr>
          <w:rFonts w:ascii="Arial" w:cs="Arial" w:eastAsia="Arial" w:hAnsi="Arial"/>
          <w:sz w:val="22"/>
          <w:szCs w:val="22"/>
        </w:rPr>
        <w:t xml:space="preserve">This Agreement shall be effective from 01 January 2024 and shall remain in force until 31 December 2024, unless terminated earlier in accordance with Section 11 of this Agreement. The total contract period is twelve (12) calendar months.</w:t>
      </w:r>
    </w:p>
    <w:p>
      <w:pPr>
        <w:spacing w:after="80" w:before="200"/>
      </w:pPr>
      <w:r>
        <w:rPr>
          <w:rFonts w:ascii="Arial" w:cs="Arial" w:eastAsia="Arial" w:hAnsi="Arial"/>
          <w:b/>
          <w:bCs/>
          <w:color w:val="1F4E79"/>
          <w:sz w:val="22"/>
          <w:szCs w:val="22"/>
        </w:rPr>
        <w:t xml:space="preserve">2.2  Automatic Renewal</w:t>
      </w:r>
    </w:p>
    <w:p>
      <w:pPr>
        <w:spacing w:after="100" w:before="60"/>
      </w:pPr>
      <w:r>
        <w:rPr>
          <w:rFonts w:ascii="Arial" w:cs="Arial" w:eastAsia="Arial" w:hAnsi="Arial"/>
          <w:sz w:val="22"/>
          <w:szCs w:val="22"/>
        </w:rPr>
        <w:t xml:space="preserve">This Agreement shall automatically renew for successive one-year terms unless either party provides written notice of non-renewal at least sixty (60) days prior to the expiry of the then-current term. Renewal pricing shall be subject to mutual negotiation as per Section 4.3.</w:t>
      </w:r>
    </w:p>
    <w:p>
      <w:pPr>
        <w:spacing w:after="80" w:before="200"/>
      </w:pPr>
      <w:r>
        <w:rPr>
          <w:rFonts w:ascii="Arial" w:cs="Arial" w:eastAsia="Arial" w:hAnsi="Arial"/>
          <w:b/>
          <w:bCs/>
          <w:color w:val="1F4E79"/>
          <w:sz w:val="22"/>
          <w:szCs w:val="22"/>
        </w:rPr>
        <w:t xml:space="preserve">2.3  Transition Period</w:t>
      </w:r>
    </w:p>
    <w:p>
      <w:pPr>
        <w:spacing w:after="100" w:before="60"/>
      </w:pPr>
      <w:r>
        <w:rPr>
          <w:rFonts w:ascii="Arial" w:cs="Arial" w:eastAsia="Arial" w:hAnsi="Arial"/>
          <w:sz w:val="22"/>
          <w:szCs w:val="22"/>
        </w:rPr>
        <w:t xml:space="preserve">Upon expiry or termination, the Supplier shall continue to honour all Purchase Orders that were confirmed in the ERPNext system prior to the termination date, for a transition period not exceeding thirty (30) days.</w:t>
      </w:r>
    </w:p>
    <w:p>
      <w:pPr>
        <w:pStyle w:val="Heading1"/>
        <w:spacing w:after="160" w:before="320"/>
      </w:pPr>
      <w:r>
        <w:rPr>
          <w:rFonts w:ascii="Arial" w:cs="Arial" w:eastAsia="Arial" w:hAnsi="Arial"/>
          <w:b/>
          <w:bCs/>
          <w:color w:val="1F4E79"/>
          <w:sz w:val="28"/>
          <w:szCs w:val="28"/>
        </w:rPr>
        <w:t xml:space="preserve">3.  ITEMS, SPECIFICATIONS AND QUANTITIES</w:t>
      </w:r>
    </w:p>
    <w:p>
      <w:pPr>
        <w:spacing w:after="80" w:before="80"/>
      </w:pPr>
      <w:r>
        <w:rPr>
          <w:rFonts w:ascii="Arial" w:cs="Arial" w:eastAsia="Arial" w:hAnsi="Arial"/>
          <w:sz w:val="22"/>
          <w:szCs w:val="22"/>
        </w:rPr>
        <w:t xml:space="preserve">The following items are covered under this Agreement. All specifications correspond to Item Codes in the Buyer's ERPNext Item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160"/>
        <w:gridCol w:w="1600"/>
        <w:gridCol w:w="16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 Code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Annual Qty (MT)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Rate (INR/MT)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RM-MS-001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Mild Steel Sheet 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2062 Grade E250, 3mm thick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58,500</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RM-MS-002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Mild Steel Sheet CR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 513 Grade D, 2mm thick</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64,200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RM-SS-001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 Rod 304 Grade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ASTM A276, Dia 25mm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2,42,000</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RM-AL-001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Aluminium Extrusion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 733 6063 T5, Custom Profile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1,85,500</w:t>
            </w:r>
          </w:p>
        </w:tc>
      </w:tr>
    </w:tbl>
    <w:p>
      <w:pPr>
        <w:spacing w:after="80" w:before="200"/>
      </w:pPr>
    </w:p>
    <w:p>
      <w:pPr>
        <w:pStyle w:val="Heading1"/>
        <w:spacing w:after="160" w:before="320"/>
      </w:pPr>
      <w:r>
        <w:rPr>
          <w:rFonts w:ascii="Arial" w:cs="Arial" w:eastAsia="Arial" w:hAnsi="Arial"/>
          <w:b/>
          <w:bCs/>
          <w:color w:val="1F4E79"/>
          <w:sz w:val="28"/>
          <w:szCs w:val="28"/>
        </w:rPr>
        <w:t xml:space="preserve">4.  PRICING, PAYMENT TERMS AND INVOICE PROCEDURE</w:t>
      </w:r>
    </w:p>
    <w:p>
      <w:pPr>
        <w:spacing w:after="80" w:before="200"/>
      </w:pPr>
      <w:r>
        <w:rPr>
          <w:rFonts w:ascii="Arial" w:cs="Arial" w:eastAsia="Arial" w:hAnsi="Arial"/>
          <w:b/>
          <w:bCs/>
          <w:color w:val="1F4E79"/>
          <w:sz w:val="22"/>
          <w:szCs w:val="22"/>
        </w:rPr>
        <w:t xml:space="preserve">4.1  Base Pricing</w:t>
      </w:r>
    </w:p>
    <w:p>
      <w:pPr>
        <w:spacing w:after="100" w:before="60"/>
      </w:pPr>
      <w:r>
        <w:rPr>
          <w:rFonts w:ascii="Arial" w:cs="Arial" w:eastAsia="Arial" w:hAnsi="Arial"/>
          <w:sz w:val="22"/>
          <w:szCs w:val="22"/>
        </w:rPr>
        <w:t xml:space="preserve">The prices set forth in Section 3 shall remain fixed for the first six (6) months of the contract period (January 2024 to June 2024). All prices are exclusive of GST, which shall be charged at the applicable rate and shown separately on each tax invoice.</w:t>
      </w:r>
    </w:p>
    <w:p>
      <w:pPr>
        <w:spacing w:after="80" w:before="200"/>
      </w:pPr>
      <w:r>
        <w:rPr>
          <w:rFonts w:ascii="Arial" w:cs="Arial" w:eastAsia="Arial" w:hAnsi="Arial"/>
          <w:b/>
          <w:bCs/>
          <w:color w:val="1F4E79"/>
          <w:sz w:val="22"/>
          <w:szCs w:val="22"/>
        </w:rPr>
        <w:t xml:space="preserve">4.2  Price Revision</w:t>
      </w:r>
    </w:p>
    <w:p>
      <w:pPr>
        <w:spacing w:after="100" w:before="60"/>
      </w:pPr>
      <w:r>
        <w:rPr>
          <w:rFonts w:ascii="Arial" w:cs="Arial" w:eastAsia="Arial" w:hAnsi="Arial"/>
          <w:sz w:val="22"/>
          <w:szCs w:val="22"/>
        </w:rPr>
        <w:t xml:space="preserve">For the second half of the contract period (July 2024 to December 2024), prices may be revised upward or downward by a maximum of five percent (5%) based on the LME (London Metal Exchange) index for aluminium and the domestic steel index published by the Joint Plant Committee (JPC). Any revision must be supported by documentary evidence and agreed in writing at least thirty (30) days prior to the revision date.</w:t>
      </w:r>
    </w:p>
    <w:p>
      <w:pPr>
        <w:spacing w:after="80" w:before="200"/>
      </w:pPr>
      <w:r>
        <w:rPr>
          <w:rFonts w:ascii="Arial" w:cs="Arial" w:eastAsia="Arial" w:hAnsi="Arial"/>
          <w:b/>
          <w:bCs/>
          <w:color w:val="1F4E79"/>
          <w:sz w:val="22"/>
          <w:szCs w:val="22"/>
        </w:rPr>
        <w:t xml:space="preserve">4.3  Invoicing Requirements</w:t>
      </w:r>
    </w:p>
    <w:p>
      <w:pPr>
        <w:spacing w:after="100" w:before="60"/>
      </w:pPr>
      <w:r>
        <w:rPr>
          <w:rFonts w:ascii="Arial" w:cs="Arial" w:eastAsia="Arial" w:hAnsi="Arial"/>
          <w:sz w:val="22"/>
          <w:szCs w:val="22"/>
        </w:rPr>
        <w:t xml:space="preserve">The Supplier shall raise a GST-compliant tax invoice for each delivery within three (3) working days of dispatch. The invoice must reference the ERPNext Purchase Order number, the Goods Receipt Note (GRN) number, HSN codes for each line item, batch numbers where applicable, and the Supplier's GSTIN and e-waybill number. Invoices not meeting these requirements will be returned for correction and the payment clock will not start until a compliant invoice is received.</w:t>
      </w:r>
    </w:p>
    <w:p>
      <w:pPr>
        <w:spacing w:after="80" w:before="200"/>
      </w:pPr>
      <w:r>
        <w:rPr>
          <w:rFonts w:ascii="Arial" w:cs="Arial" w:eastAsia="Arial" w:hAnsi="Arial"/>
          <w:b/>
          <w:bCs/>
          <w:color w:val="1F4E79"/>
          <w:sz w:val="22"/>
          <w:szCs w:val="22"/>
        </w:rPr>
        <w:t xml:space="preserve">4.4  Payment Terms</w:t>
      </w:r>
    </w:p>
    <w:p>
      <w:pPr>
        <w:spacing w:after="100" w:before="60"/>
      </w:pPr>
      <w:r>
        <w:rPr>
          <w:rFonts w:ascii="Arial" w:cs="Arial" w:eastAsia="Arial" w:hAnsi="Arial"/>
          <w:sz w:val="22"/>
          <w:szCs w:val="22"/>
        </w:rPr>
        <w:t xml:space="preserve">Payment shall be made within forty-five (45) days from the date of receipt of a compliant invoice and satisfactory GRN entry in the ERPNext system. Payment shall be made via NEFT/RTGS to the Supplier's designated bank account. No advance payment shall be made under this Agreement. Disputes on invoice amounts shall be resolved within seven (7) working days; the undisputed portion shall be paid on time.</w:t>
      </w:r>
    </w:p>
    <w:p>
      <w:pPr>
        <w:spacing w:after="80" w:before="200"/>
      </w:pPr>
      <w:r>
        <w:rPr>
          <w:rFonts w:ascii="Arial" w:cs="Arial" w:eastAsia="Arial" w:hAnsi="Arial"/>
          <w:b/>
          <w:bCs/>
          <w:color w:val="1F4E79"/>
          <w:sz w:val="22"/>
          <w:szCs w:val="22"/>
        </w:rPr>
        <w:t xml:space="preserve">4.5  Late Payment Penalty</w:t>
      </w:r>
    </w:p>
    <w:p>
      <w:pPr>
        <w:spacing w:after="100" w:before="60"/>
      </w:pPr>
      <w:r>
        <w:rPr>
          <w:rFonts w:ascii="Arial" w:cs="Arial" w:eastAsia="Arial" w:hAnsi="Arial"/>
          <w:sz w:val="22"/>
          <w:szCs w:val="22"/>
        </w:rPr>
        <w:t xml:space="preserve">In the event the Buyer fails to make payment within the stipulated forty-five (45) day period, the Supplier shall be entitled to charge simple interest at the rate of one and a half percent (1.5%) per month on the overdue amount, calculated from the due date until the actual date of payment. Interest charges must be raised through a separate debit note referencing the original invoice number.</w:t>
      </w:r>
    </w:p>
    <w:p>
      <w:pPr>
        <w:spacing w:after="80" w:before="200"/>
      </w:pPr>
      <w:r>
        <w:rPr>
          <w:rFonts w:ascii="Arial" w:cs="Arial" w:eastAsia="Arial" w:hAnsi="Arial"/>
          <w:b/>
          <w:bCs/>
          <w:color w:val="1F4E79"/>
          <w:sz w:val="22"/>
          <w:szCs w:val="22"/>
        </w:rPr>
        <w:t xml:space="preserve">4.6  TDS Deduction</w:t>
      </w:r>
    </w:p>
    <w:p>
      <w:pPr>
        <w:spacing w:after="100" w:before="60"/>
      </w:pPr>
      <w:r>
        <w:rPr>
          <w:rFonts w:ascii="Arial" w:cs="Arial" w:eastAsia="Arial" w:hAnsi="Arial"/>
          <w:sz w:val="22"/>
          <w:szCs w:val="22"/>
        </w:rPr>
        <w:t xml:space="preserve">The Buyer shall deduct Tax Deducted at Source (TDS) under Section 194Q of the Income Tax Act at the applicable rate on all payments exceeding INR 50 lakhs in a financial year. TDS certificates shall be issued quarterly via the ERPNext TDS module.</w:t>
      </w:r>
    </w:p>
    <w:p>
      <w:pPr>
        <w:pStyle w:val="Heading1"/>
        <w:spacing w:after="160" w:before="320"/>
      </w:pPr>
      <w:r>
        <w:rPr>
          <w:rFonts w:ascii="Arial" w:cs="Arial" w:eastAsia="Arial" w:hAnsi="Arial"/>
          <w:b/>
          <w:bCs/>
          <w:color w:val="1F4E79"/>
          <w:sz w:val="28"/>
          <w:szCs w:val="28"/>
        </w:rPr>
        <w:t xml:space="preserve">5.  DELIVERY, LOGISTICS AND RISK</w:t>
      </w:r>
    </w:p>
    <w:p>
      <w:pPr>
        <w:spacing w:after="80" w:before="200"/>
      </w:pPr>
      <w:r>
        <w:rPr>
          <w:rFonts w:ascii="Arial" w:cs="Arial" w:eastAsia="Arial" w:hAnsi="Arial"/>
          <w:b/>
          <w:bCs/>
          <w:color w:val="1F4E79"/>
          <w:sz w:val="22"/>
          <w:szCs w:val="22"/>
        </w:rPr>
        <w:t xml:space="preserve">5.1  Delivery Terms</w:t>
      </w:r>
    </w:p>
    <w:p>
      <w:pPr>
        <w:spacing w:after="100" w:before="60"/>
      </w:pPr>
      <w:r>
        <w:rPr>
          <w:rFonts w:ascii="Arial" w:cs="Arial" w:eastAsia="Arial" w:hAnsi="Arial"/>
          <w:sz w:val="22"/>
          <w:szCs w:val="22"/>
        </w:rPr>
        <w:t xml:space="preserve">All deliveries shall be on a Door Delivery basis (DDU - Delivered Duty Unpaid) to the Buyer's Peenya facility. The Supplier is responsible for freight, insurance, and all costs until the materials are unloaded at the Buyer's receiving dock. Risk of loss shall pass to the Buyer upon signature of the Delivery Challan by the Buyer's Store In-charge.</w:t>
      </w:r>
    </w:p>
    <w:p>
      <w:pPr>
        <w:spacing w:after="80" w:before="200"/>
      </w:pPr>
      <w:r>
        <w:rPr>
          <w:rFonts w:ascii="Arial" w:cs="Arial" w:eastAsia="Arial" w:hAnsi="Arial"/>
          <w:b/>
          <w:bCs/>
          <w:color w:val="1F4E79"/>
          <w:sz w:val="22"/>
          <w:szCs w:val="22"/>
        </w:rPr>
        <w:t xml:space="preserve">5.2  Lead Time</w:t>
      </w:r>
    </w:p>
    <w:p>
      <w:pPr>
        <w:spacing w:after="100" w:before="60"/>
      </w:pPr>
      <w:r>
        <w:rPr>
          <w:rFonts w:ascii="Arial" w:cs="Arial" w:eastAsia="Arial" w:hAnsi="Arial"/>
          <w:sz w:val="22"/>
          <w:szCs w:val="22"/>
        </w:rPr>
        <w:t xml:space="preserve">The standard lead time for all items under this Agreement is fourteen (14) calendar days from the date of Purchase Order confirmation in the ERPNext system. For urgent orders flagged as 'Priority' in the system, the Supplier shall deliver within seven (7) calendar days at no additional charge, subject to a maximum of four (4) such orders per quarter.</w:t>
      </w:r>
    </w:p>
    <w:p>
      <w:pPr>
        <w:spacing w:after="80" w:before="200"/>
      </w:pPr>
      <w:r>
        <w:rPr>
          <w:rFonts w:ascii="Arial" w:cs="Arial" w:eastAsia="Arial" w:hAnsi="Arial"/>
          <w:b/>
          <w:bCs/>
          <w:color w:val="1F4E79"/>
          <w:sz w:val="22"/>
          <w:szCs w:val="22"/>
        </w:rPr>
        <w:t xml:space="preserve">5.3  Delivery Schedule</w:t>
      </w:r>
    </w:p>
    <w:p>
      <w:pPr>
        <w:spacing w:after="100" w:before="60"/>
      </w:pPr>
      <w:r>
        <w:rPr>
          <w:rFonts w:ascii="Arial" w:cs="Arial" w:eastAsia="Arial" w:hAnsi="Arial"/>
          <w:sz w:val="22"/>
          <w:szCs w:val="22"/>
        </w:rPr>
        <w:t xml:space="preserve">The Supplier shall provide a weekly dispatch plan every Monday by 10:00 AM for all open Purchase Orders. This plan shall be uploaded to the ERPNext portal against the respective Purchase Order. Failure to provide the dispatch plan constitutes a minor breach and may result in a penalty as defined in Section 8.</w:t>
      </w:r>
    </w:p>
    <w:p>
      <w:pPr>
        <w:spacing w:after="80" w:before="200"/>
      </w:pPr>
      <w:r>
        <w:rPr>
          <w:rFonts w:ascii="Arial" w:cs="Arial" w:eastAsia="Arial" w:hAnsi="Arial"/>
          <w:b/>
          <w:bCs/>
          <w:color w:val="1F4E79"/>
          <w:sz w:val="22"/>
          <w:szCs w:val="22"/>
        </w:rPr>
        <w:t xml:space="preserve">5.4  Shortage and Partial Delivery</w:t>
      </w:r>
    </w:p>
    <w:p>
      <w:pPr>
        <w:spacing w:after="100" w:before="60"/>
      </w:pPr>
      <w:r>
        <w:rPr>
          <w:rFonts w:ascii="Arial" w:cs="Arial" w:eastAsia="Arial" w:hAnsi="Arial"/>
          <w:sz w:val="22"/>
          <w:szCs w:val="22"/>
        </w:rPr>
        <w:t xml:space="preserve">Partial deliveries are permitted provided the Supplier notifies the Buyer at least five (5) working days in advance. The Supplier must deliver at least eighty percent (80%) of the ordered quantity in the first delivery. Short deliveries without prior notice shall be treated as a delivery failure and penalised as per Section 8.2.</w:t>
      </w:r>
    </w:p>
    <w:p>
      <w:pPr>
        <w:pStyle w:val="Heading1"/>
        <w:spacing w:after="160" w:before="320"/>
      </w:pPr>
      <w:r>
        <w:rPr>
          <w:rFonts w:ascii="Arial" w:cs="Arial" w:eastAsia="Arial" w:hAnsi="Arial"/>
          <w:b/>
          <w:bCs/>
          <w:color w:val="1F4E79"/>
          <w:sz w:val="28"/>
          <w:szCs w:val="28"/>
        </w:rPr>
        <w:t xml:space="preserve">6.  QUALITY ASSURANCE AND INSPECTION</w:t>
      </w:r>
    </w:p>
    <w:p>
      <w:pPr>
        <w:spacing w:after="80" w:before="200"/>
      </w:pPr>
      <w:r>
        <w:rPr>
          <w:rFonts w:ascii="Arial" w:cs="Arial" w:eastAsia="Arial" w:hAnsi="Arial"/>
          <w:b/>
          <w:bCs/>
          <w:color w:val="1F4E79"/>
          <w:sz w:val="22"/>
          <w:szCs w:val="22"/>
        </w:rPr>
        <w:t xml:space="preserve">6.1  Material Certificates</w:t>
      </w:r>
    </w:p>
    <w:p>
      <w:pPr>
        <w:spacing w:after="100" w:before="60"/>
      </w:pPr>
      <w:r>
        <w:rPr>
          <w:rFonts w:ascii="Arial" w:cs="Arial" w:eastAsia="Arial" w:hAnsi="Arial"/>
          <w:sz w:val="22"/>
          <w:szCs w:val="22"/>
        </w:rPr>
        <w:t xml:space="preserve">Each delivery must be accompanied by a Mill Test Certificate (MTC) or Material Test Report (MTR) confirming compliance with the specified Indian or ASTM standards. The MTC shall include heat number, chemical composition, mechanical properties, and the Supplier's quality seal.</w:t>
      </w:r>
    </w:p>
    <w:p>
      <w:pPr>
        <w:spacing w:after="80" w:before="200"/>
      </w:pPr>
      <w:r>
        <w:rPr>
          <w:rFonts w:ascii="Arial" w:cs="Arial" w:eastAsia="Arial" w:hAnsi="Arial"/>
          <w:b/>
          <w:bCs/>
          <w:color w:val="1F4E79"/>
          <w:sz w:val="22"/>
          <w:szCs w:val="22"/>
        </w:rPr>
        <w:t xml:space="preserve">6.2  Incoming Quality Check</w:t>
      </w:r>
    </w:p>
    <w:p>
      <w:pPr>
        <w:spacing w:after="100" w:before="60"/>
      </w:pPr>
      <w:r>
        <w:rPr>
          <w:rFonts w:ascii="Arial" w:cs="Arial" w:eastAsia="Arial" w:hAnsi="Arial"/>
          <w:sz w:val="22"/>
          <w:szCs w:val="22"/>
        </w:rPr>
        <w:t xml:space="preserve">The Buyer's Quality Control team will conduct incoming inspection within forty-eight (48) hours of receipt at the Peenya facility. Inspection will include dimensional checks, visual inspection, hardness testing, and chemical analysis for every fifth lot. Results will be entered into the ERPNext Quality Inspection module.</w:t>
      </w:r>
    </w:p>
    <w:p>
      <w:pPr>
        <w:spacing w:after="80" w:before="200"/>
      </w:pPr>
      <w:r>
        <w:rPr>
          <w:rFonts w:ascii="Arial" w:cs="Arial" w:eastAsia="Arial" w:hAnsi="Arial"/>
          <w:b/>
          <w:bCs/>
          <w:color w:val="1F4E79"/>
          <w:sz w:val="22"/>
          <w:szCs w:val="22"/>
        </w:rPr>
        <w:t xml:space="preserve">6.3  Rejection and Return</w:t>
      </w:r>
    </w:p>
    <w:p>
      <w:pPr>
        <w:spacing w:after="100" w:before="60"/>
      </w:pPr>
      <w:r>
        <w:rPr>
          <w:rFonts w:ascii="Arial" w:cs="Arial" w:eastAsia="Arial" w:hAnsi="Arial"/>
          <w:sz w:val="22"/>
          <w:szCs w:val="22"/>
        </w:rPr>
        <w:t xml:space="preserve">Materials failing inspection shall be tagged as 'Rejected' in the ERPNext system. The Supplier must collect rejected materials within five (5) working days of notification and replace them within the original lead time. All costs associated with rejection, return, and replacement — including freight, inspection, and restacking — shall be borne by the Supplier.</w:t>
      </w:r>
    </w:p>
    <w:p>
      <w:pPr>
        <w:spacing w:after="80" w:before="200"/>
      </w:pPr>
      <w:r>
        <w:rPr>
          <w:rFonts w:ascii="Arial" w:cs="Arial" w:eastAsia="Arial" w:hAnsi="Arial"/>
          <w:b/>
          <w:bCs/>
          <w:color w:val="1F4E79"/>
          <w:sz w:val="22"/>
          <w:szCs w:val="22"/>
        </w:rPr>
        <w:t xml:space="preserve">6.4  Warranty</w:t>
      </w:r>
    </w:p>
    <w:p>
      <w:pPr>
        <w:spacing w:after="100" w:before="60"/>
      </w:pPr>
      <w:r>
        <w:rPr>
          <w:rFonts w:ascii="Arial" w:cs="Arial" w:eastAsia="Arial" w:hAnsi="Arial"/>
          <w:sz w:val="22"/>
          <w:szCs w:val="22"/>
        </w:rPr>
        <w:t xml:space="preserve">The Supplier warrants that all materials supplied under this Agreement shall be free from defects in material and workmanship for a period of twelve (12) months from the date of delivery or until the material is consumed in production, whichever is earlier.</w:t>
      </w:r>
    </w:p>
    <w:p>
      <w:pPr>
        <w:pStyle w:val="Heading1"/>
        <w:spacing w:after="160" w:before="320"/>
      </w:pPr>
      <w:r>
        <w:rPr>
          <w:rFonts w:ascii="Arial" w:cs="Arial" w:eastAsia="Arial" w:hAnsi="Arial"/>
          <w:b/>
          <w:bCs/>
          <w:color w:val="1F4E79"/>
          <w:sz w:val="28"/>
          <w:szCs w:val="28"/>
        </w:rPr>
        <w:t xml:space="preserve">7.  ERPNext INTEGRATION AND DOCUMENTATION</w:t>
      </w:r>
    </w:p>
    <w:p>
      <w:pPr>
        <w:spacing w:after="80" w:before="200"/>
      </w:pPr>
      <w:r>
        <w:rPr>
          <w:rFonts w:ascii="Arial" w:cs="Arial" w:eastAsia="Arial" w:hAnsi="Arial"/>
          <w:b/>
          <w:bCs/>
          <w:color w:val="1F4E79"/>
          <w:sz w:val="22"/>
          <w:szCs w:val="22"/>
        </w:rPr>
        <w:t xml:space="preserve">7.1  Supplier Portal Access</w:t>
      </w:r>
    </w:p>
    <w:p>
      <w:pPr>
        <w:spacing w:after="100" w:before="60"/>
      </w:pPr>
      <w:r>
        <w:rPr>
          <w:rFonts w:ascii="Arial" w:cs="Arial" w:eastAsia="Arial" w:hAnsi="Arial"/>
          <w:sz w:val="22"/>
          <w:szCs w:val="22"/>
        </w:rPr>
        <w:t xml:space="preserve">The Supplier will be provided access to the Buyer's ERPNext Supplier Portal. All Purchase Orders will be issued exclusively through the portal. The Supplier must acknowledge each Purchase Order within twenty-four (24) hours of issuance. Unacknowledged orders after twenty-four (24) hours are deemed accepted.</w:t>
      </w:r>
    </w:p>
    <w:p>
      <w:pPr>
        <w:spacing w:after="80" w:before="200"/>
      </w:pPr>
      <w:r>
        <w:rPr>
          <w:rFonts w:ascii="Arial" w:cs="Arial" w:eastAsia="Arial" w:hAnsi="Arial"/>
          <w:b/>
          <w:bCs/>
          <w:color w:val="1F4E79"/>
          <w:sz w:val="22"/>
          <w:szCs w:val="22"/>
        </w:rPr>
        <w:t xml:space="preserve">7.2  GRN and Three-Way Match</w:t>
      </w:r>
    </w:p>
    <w:p>
      <w:pPr>
        <w:spacing w:after="100" w:before="60"/>
      </w:pPr>
      <w:r>
        <w:rPr>
          <w:rFonts w:ascii="Arial" w:cs="Arial" w:eastAsia="Arial" w:hAnsi="Arial"/>
          <w:sz w:val="22"/>
          <w:szCs w:val="22"/>
        </w:rPr>
        <w:t xml:space="preserve">Payment processing is contingent on successful three-way matching in ERPNext: Purchase Order vs. Supplier Invoice vs. Goods Receipt Note. Any discrepancy in quantity, rate, or HSN code will trigger an automatic hold in the system. The Supplier's accounts team must resolve holds within three (3) working days.</w:t>
      </w:r>
    </w:p>
    <w:p>
      <w:pPr>
        <w:spacing w:after="80" w:before="200"/>
      </w:pPr>
      <w:r>
        <w:rPr>
          <w:rFonts w:ascii="Arial" w:cs="Arial" w:eastAsia="Arial" w:hAnsi="Arial"/>
          <w:b/>
          <w:bCs/>
          <w:color w:val="1F4E79"/>
          <w:sz w:val="22"/>
          <w:szCs w:val="22"/>
        </w:rPr>
        <w:t xml:space="preserve">7.3  e-Invoice Compliance</w:t>
      </w:r>
    </w:p>
    <w:p>
      <w:pPr>
        <w:spacing w:after="100" w:before="60"/>
      </w:pPr>
      <w:r>
        <w:rPr>
          <w:rFonts w:ascii="Arial" w:cs="Arial" w:eastAsia="Arial" w:hAnsi="Arial"/>
          <w:sz w:val="22"/>
          <w:szCs w:val="22"/>
        </w:rPr>
        <w:t xml:space="preserve">As per GST regulations, the Supplier must generate e-invoices for all transactions exceeding INR 5 crores turnover threshold. The IRN (Invoice Reference Number) and QR code must be printed on the physical invoice and entered in the ERPNext system before submission.</w:t>
      </w:r>
    </w:p>
    <w:p>
      <w:pPr>
        <w:pStyle w:val="Heading1"/>
        <w:spacing w:after="160" w:before="320"/>
      </w:pPr>
      <w:r>
        <w:rPr>
          <w:rFonts w:ascii="Arial" w:cs="Arial" w:eastAsia="Arial" w:hAnsi="Arial"/>
          <w:b/>
          <w:bCs/>
          <w:color w:val="1F4E79"/>
          <w:sz w:val="28"/>
          <w:szCs w:val="28"/>
        </w:rPr>
        <w:t xml:space="preserve">8.  PENALTIES AND SERVICE LEVEL AGREEMENT</w:t>
      </w:r>
    </w:p>
    <w:p>
      <w:pPr>
        <w:spacing w:after="80" w:before="200"/>
      </w:pPr>
      <w:r>
        <w:rPr>
          <w:rFonts w:ascii="Arial" w:cs="Arial" w:eastAsia="Arial" w:hAnsi="Arial"/>
          <w:b/>
          <w:bCs/>
          <w:color w:val="1F4E79"/>
          <w:sz w:val="22"/>
          <w:szCs w:val="22"/>
        </w:rPr>
        <w:t xml:space="preserve">8.1  On-Time Delivery (OTD) Target</w:t>
      </w:r>
    </w:p>
    <w:p>
      <w:pPr>
        <w:spacing w:after="100" w:before="60"/>
      </w:pPr>
      <w:r>
        <w:rPr>
          <w:rFonts w:ascii="Arial" w:cs="Arial" w:eastAsia="Arial" w:hAnsi="Arial"/>
          <w:sz w:val="22"/>
          <w:szCs w:val="22"/>
        </w:rPr>
        <w:t xml:space="preserve">The Supplier's monthly On-Time Delivery rate must be maintained at or above ninety percent (90%). OTD is measured as the percentage of Purchase Orders delivered on or before the confirmed delivery date as recorded in ERPNext.</w:t>
      </w:r>
    </w:p>
    <w:p>
      <w:pPr>
        <w:spacing w:after="80" w:before="200"/>
      </w:pPr>
      <w:r>
        <w:rPr>
          <w:rFonts w:ascii="Arial" w:cs="Arial" w:eastAsia="Arial" w:hAnsi="Arial"/>
          <w:b/>
          <w:bCs/>
          <w:color w:val="1F4E79"/>
          <w:sz w:val="22"/>
          <w:szCs w:val="22"/>
        </w:rPr>
        <w:t xml:space="preserve">8.2  Delivery Delay Penalty</w:t>
      </w:r>
    </w:p>
    <w:p>
      <w:pPr>
        <w:spacing w:after="100" w:before="60"/>
      </w:pPr>
      <w:r>
        <w:rPr>
          <w:rFonts w:ascii="Arial" w:cs="Arial" w:eastAsia="Arial" w:hAnsi="Arial"/>
          <w:sz w:val="22"/>
          <w:szCs w:val="22"/>
        </w:rPr>
        <w:t xml:space="preserve">For deliveries beyond the confirmed date: delays of one (1) to three (3) days attract a penalty of zero point five percent (0.5%) of the delayed PO value per day; delays of four (4) to seven (7) days attract one percent (1%) per day; delays beyond seven (7) days entitle the Buyer to cancel the order and source from the open market, with the differential cost charged to the Supplier.</w:t>
      </w:r>
    </w:p>
    <w:p>
      <w:pPr>
        <w:spacing w:after="80" w:before="200"/>
      </w:pPr>
      <w:r>
        <w:rPr>
          <w:rFonts w:ascii="Arial" w:cs="Arial" w:eastAsia="Arial" w:hAnsi="Arial"/>
          <w:b/>
          <w:bCs/>
          <w:color w:val="1F4E79"/>
          <w:sz w:val="22"/>
          <w:szCs w:val="22"/>
        </w:rPr>
        <w:t xml:space="preserve">8.3  Quality Rejection Penalty</w:t>
      </w:r>
    </w:p>
    <w:p>
      <w:pPr>
        <w:spacing w:after="100" w:before="60"/>
      </w:pPr>
      <w:r>
        <w:rPr>
          <w:rFonts w:ascii="Arial" w:cs="Arial" w:eastAsia="Arial" w:hAnsi="Arial"/>
          <w:sz w:val="22"/>
          <w:szCs w:val="22"/>
        </w:rPr>
        <w:t xml:space="preserve">If the monthly rejection rate exceeds two percent (2%) by weight, the Supplier shall pay a quality penalty of five percent (5%) of the value of all rejected material in that month, in addition to replacement costs.</w:t>
      </w:r>
    </w:p>
    <w:p>
      <w:pPr>
        <w:spacing w:after="80" w:before="200"/>
      </w:pPr>
      <w:r>
        <w:rPr>
          <w:rFonts w:ascii="Arial" w:cs="Arial" w:eastAsia="Arial" w:hAnsi="Arial"/>
          <w:b/>
          <w:bCs/>
          <w:color w:val="1F4E79"/>
          <w:sz w:val="22"/>
          <w:szCs w:val="22"/>
        </w:rPr>
        <w:t xml:space="preserve">8.4  SLA Review</w:t>
      </w:r>
    </w:p>
    <w:p>
      <w:pPr>
        <w:spacing w:after="100" w:before="60"/>
      </w:pPr>
      <w:r>
        <w:rPr>
          <w:rFonts w:ascii="Arial" w:cs="Arial" w:eastAsia="Arial" w:hAnsi="Arial"/>
          <w:sz w:val="22"/>
          <w:szCs w:val="22"/>
        </w:rPr>
        <w:t xml:space="preserve">SLA performance will be reviewed monthly in a Vendor Performance Review (VPR) meeting. Three consecutive months of OTD below eighty percent (80%) or monthly rejection above five percent (5%) shall constitute a material breach and may lead to contract termination under Section 11.2.</w:t>
      </w:r>
    </w:p>
    <w:p>
      <w:pPr>
        <w:pStyle w:val="Heading1"/>
        <w:spacing w:after="160" w:before="320"/>
      </w:pPr>
      <w:r>
        <w:rPr>
          <w:rFonts w:ascii="Arial" w:cs="Arial" w:eastAsia="Arial" w:hAnsi="Arial"/>
          <w:b/>
          <w:bCs/>
          <w:color w:val="1F4E79"/>
          <w:sz w:val="28"/>
          <w:szCs w:val="28"/>
        </w:rPr>
        <w:t xml:space="preserve">9.  CONFIDENTIALITY</w:t>
      </w:r>
    </w:p>
    <w:p>
      <w:pPr>
        <w:spacing w:after="80" w:before="80"/>
      </w:pPr>
      <w:r>
        <w:rPr>
          <w:rFonts w:ascii="Arial" w:cs="Arial" w:eastAsia="Arial" w:hAnsi="Arial"/>
          <w:sz w:val="22"/>
          <w:szCs w:val="22"/>
        </w:rPr>
        <w:t xml:space="preserve">Both parties agree to keep confidential all information exchanged under this Agreement, including but not limited to pricing, specifications, production volumes, ERPNext system configurations, and customer identities. This obligation shall survive for three (3) years beyond the termination of this Agreement. Neither party shall disclose Confidential Information to any third party without prior written consent.</w:t>
      </w:r>
    </w:p>
    <w:p>
      <w:pPr>
        <w:pStyle w:val="Heading1"/>
        <w:spacing w:after="160" w:before="320"/>
      </w:pPr>
      <w:r>
        <w:rPr>
          <w:rFonts w:ascii="Arial" w:cs="Arial" w:eastAsia="Arial" w:hAnsi="Arial"/>
          <w:b/>
          <w:bCs/>
          <w:color w:val="1F4E79"/>
          <w:sz w:val="28"/>
          <w:szCs w:val="28"/>
        </w:rPr>
        <w:t xml:space="preserve">10. FORCE MAJEURE</w:t>
      </w:r>
    </w:p>
    <w:p>
      <w:pPr>
        <w:spacing w:after="80" w:before="80"/>
      </w:pPr>
      <w:r>
        <w:rPr>
          <w:rFonts w:ascii="Arial" w:cs="Arial" w:eastAsia="Arial" w:hAnsi="Arial"/>
          <w:sz w:val="22"/>
          <w:szCs w:val="22"/>
        </w:rPr>
        <w:t xml:space="preserve">Neither party shall be liable for delay or failure in performance resulting from causes beyond its reasonable control, including but not limited to acts of God, war, government actions, floods, fire, earthquakes, labour strikes, or disruptions in raw material supply due to port closures. The affected party must notify the other within seventy-two (72) hours of the force majeure event and provide regular updates every seven (7) days. If a force majeure event continues for more than sixty (60) days, either party may terminate this Agreement without penalty.</w:t>
      </w:r>
    </w:p>
    <w:p>
      <w:pPr>
        <w:pStyle w:val="Heading1"/>
        <w:spacing w:after="160" w:before="320"/>
      </w:pPr>
      <w:r>
        <w:rPr>
          <w:rFonts w:ascii="Arial" w:cs="Arial" w:eastAsia="Arial" w:hAnsi="Arial"/>
          <w:b/>
          <w:bCs/>
          <w:color w:val="1F4E79"/>
          <w:sz w:val="28"/>
          <w:szCs w:val="28"/>
        </w:rPr>
        <w:t xml:space="preserve">11. TERMINATION</w:t>
      </w:r>
    </w:p>
    <w:p>
      <w:pPr>
        <w:spacing w:after="80" w:before="200"/>
      </w:pPr>
      <w:r>
        <w:rPr>
          <w:rFonts w:ascii="Arial" w:cs="Arial" w:eastAsia="Arial" w:hAnsi="Arial"/>
          <w:b/>
          <w:bCs/>
          <w:color w:val="1F4E79"/>
          <w:sz w:val="22"/>
          <w:szCs w:val="22"/>
        </w:rPr>
        <w:t xml:space="preserve">11.1  Termination for Convenience</w:t>
      </w:r>
    </w:p>
    <w:p>
      <w:pPr>
        <w:spacing w:after="100" w:before="60"/>
      </w:pPr>
      <w:r>
        <w:rPr>
          <w:rFonts w:ascii="Arial" w:cs="Arial" w:eastAsia="Arial" w:hAnsi="Arial"/>
          <w:sz w:val="22"/>
          <w:szCs w:val="22"/>
        </w:rPr>
        <w:t xml:space="preserve">Either party may terminate this Agreement without cause by providing sixty (60) days written notice. During the notice period, all obligations — including pending deliveries and payments — remain in full force.</w:t>
      </w:r>
    </w:p>
    <w:p>
      <w:pPr>
        <w:spacing w:after="80" w:before="200"/>
      </w:pPr>
      <w:r>
        <w:rPr>
          <w:rFonts w:ascii="Arial" w:cs="Arial" w:eastAsia="Arial" w:hAnsi="Arial"/>
          <w:b/>
          <w:bCs/>
          <w:color w:val="1F4E79"/>
          <w:sz w:val="22"/>
          <w:szCs w:val="22"/>
        </w:rPr>
        <w:t xml:space="preserve">11.2  Termination for Cause</w:t>
      </w:r>
    </w:p>
    <w:p>
      <w:pPr>
        <w:spacing w:after="100" w:before="60"/>
      </w:pPr>
      <w:r>
        <w:rPr>
          <w:rFonts w:ascii="Arial" w:cs="Arial" w:eastAsia="Arial" w:hAnsi="Arial"/>
          <w:sz w:val="22"/>
          <w:szCs w:val="22"/>
        </w:rPr>
        <w:t xml:space="preserve">The Buyer may terminate this Agreement immediately upon written notice if the Supplier commits a material breach that remains uncured for fifteen (15) days after written notice; becomes insolvent or initiates bankruptcy proceedings; or consistently fails SLA targets as defined in Section 8.4.</w:t>
      </w:r>
    </w:p>
    <w:p>
      <w:pPr>
        <w:spacing w:after="80" w:before="200"/>
      </w:pPr>
      <w:r>
        <w:rPr>
          <w:rFonts w:ascii="Arial" w:cs="Arial" w:eastAsia="Arial" w:hAnsi="Arial"/>
          <w:b/>
          <w:bCs/>
          <w:color w:val="1F4E79"/>
          <w:sz w:val="22"/>
          <w:szCs w:val="22"/>
        </w:rPr>
        <w:t xml:space="preserve">11.3  Effect of Termination</w:t>
      </w:r>
    </w:p>
    <w:p>
      <w:pPr>
        <w:spacing w:after="100" w:before="60"/>
      </w:pPr>
      <w:r>
        <w:rPr>
          <w:rFonts w:ascii="Arial" w:cs="Arial" w:eastAsia="Arial" w:hAnsi="Arial"/>
          <w:sz w:val="22"/>
          <w:szCs w:val="22"/>
        </w:rPr>
        <w:t xml:space="preserve">Upon termination, all confirmed Purchase Orders in ERPNext must be fulfilled by the Supplier. The Buyer shall pay for all goods received before the termination date. Outstanding penalties as computed in the ERPNext system remain payable.</w:t>
      </w:r>
    </w:p>
    <w:p>
      <w:pPr>
        <w:pStyle w:val="Heading1"/>
        <w:spacing w:after="160" w:before="320"/>
      </w:pPr>
      <w:r>
        <w:rPr>
          <w:rFonts w:ascii="Arial" w:cs="Arial" w:eastAsia="Arial" w:hAnsi="Arial"/>
          <w:b/>
          <w:bCs/>
          <w:color w:val="1F4E79"/>
          <w:sz w:val="28"/>
          <w:szCs w:val="28"/>
        </w:rPr>
        <w:t xml:space="preserve">12. GOVERNING LAW AND DISPUTE RESOLUTION</w:t>
      </w:r>
    </w:p>
    <w:p>
      <w:pPr>
        <w:spacing w:after="80" w:before="200"/>
      </w:pPr>
      <w:r>
        <w:rPr>
          <w:rFonts w:ascii="Arial" w:cs="Arial" w:eastAsia="Arial" w:hAnsi="Arial"/>
          <w:b/>
          <w:bCs/>
          <w:color w:val="1F4E79"/>
          <w:sz w:val="22"/>
          <w:szCs w:val="22"/>
        </w:rPr>
        <w:t xml:space="preserve">12.1  Governing Law</w:t>
      </w:r>
    </w:p>
    <w:p>
      <w:pPr>
        <w:spacing w:after="100" w:before="60"/>
      </w:pPr>
      <w:r>
        <w:rPr>
          <w:rFonts w:ascii="Arial" w:cs="Arial" w:eastAsia="Arial" w:hAnsi="Arial"/>
          <w:sz w:val="22"/>
          <w:szCs w:val="22"/>
        </w:rPr>
        <w:t xml:space="preserve">This Agreement shall be governed by and construed in accordance with the laws of India. Any disputes arising out of or in connection with this Agreement shall first be attempted to be resolved through mutual negotiation within thirty (30) days.</w:t>
      </w:r>
    </w:p>
    <w:p>
      <w:pPr>
        <w:spacing w:after="80" w:before="200"/>
      </w:pPr>
      <w:r>
        <w:rPr>
          <w:rFonts w:ascii="Arial" w:cs="Arial" w:eastAsia="Arial" w:hAnsi="Arial"/>
          <w:b/>
          <w:bCs/>
          <w:color w:val="1F4E79"/>
          <w:sz w:val="22"/>
          <w:szCs w:val="22"/>
        </w:rPr>
        <w:t xml:space="preserve">12.2  Arbitration</w:t>
      </w:r>
    </w:p>
    <w:p>
      <w:pPr>
        <w:spacing w:after="100" w:before="60"/>
      </w:pPr>
      <w:r>
        <w:rPr>
          <w:rFonts w:ascii="Arial" w:cs="Arial" w:eastAsia="Arial" w:hAnsi="Arial"/>
          <w:sz w:val="22"/>
          <w:szCs w:val="22"/>
        </w:rPr>
        <w:t xml:space="preserve">If negotiation fails, disputes shall be referred to arbitration under the Arbitration and Conciliation Act, 1996. The arbitration shall be conducted by a sole arbitrator mutually appointed by both parties, seated in Bengaluru. The language of arbitration shall be English.</w:t>
      </w:r>
    </w:p>
    <w:p>
      <w:pPr>
        <w:spacing w:after="80" w:before="400"/>
      </w:pPr>
      <w:r>
        <w:rPr>
          <w:rFonts w:ascii="Arial" w:cs="Arial" w:eastAsia="Arial" w:hAnsi="Arial"/>
          <w:b/>
          <w:bCs/>
          <w:color w:val="1F4E79"/>
          <w:sz w:val="26"/>
          <w:szCs w:val="26"/>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200"/>
              <w:left w:type="dxa" w:w="160"/>
              <w:bottom w:type="dxa" w:w="400"/>
              <w:right w:type="dxa" w:w="160"/>
            </w:tcMar>
          </w:tcPr>
          <w:p>
            <w:r>
              <w:rPr>
                <w:rFonts w:ascii="Arial" w:cs="Arial" w:eastAsia="Arial" w:hAnsi="Arial"/>
                <w:b/>
                <w:bCs/>
                <w:sz w:val="22"/>
                <w:szCs w:val="22"/>
              </w:rPr>
              <w:t xml:space="preserve">For Precision Manufacturing Pvt. Ltd.</w:t>
            </w:r>
          </w:p>
          <w:p>
            <w:pPr>
              <w:spacing w:before="320"/>
            </w:pPr>
            <w:r>
              <w:rPr>
                <w:rFonts w:ascii="Arial" w:cs="Arial" w:eastAsia="Arial" w:hAnsi="Arial"/>
                <w:color w:val="888888"/>
                <w:sz w:val="20"/>
                <w:szCs w:val="20"/>
              </w:rPr>
              <w:t xml:space="preserve">Authorised Signatory</w:t>
            </w:r>
          </w:p>
          <w:p>
            <w:r>
              <w:rPr>
                <w:rFonts w:ascii="Arial" w:cs="Arial" w:eastAsia="Arial" w:hAnsi="Arial"/>
                <w:sz w:val="20"/>
                <w:szCs w:val="20"/>
              </w:rPr>
              <w:t xml:space="preserve">Name: ____________________________</w:t>
            </w:r>
          </w:p>
          <w:p>
            <w:r>
              <w:rPr>
                <w:rFonts w:ascii="Arial" w:cs="Arial" w:eastAsia="Arial" w:hAnsi="Arial"/>
                <w:sz w:val="20"/>
                <w:szCs w:val="20"/>
              </w:rPr>
              <w:t xml:space="preserve">Designation: ______________________</w:t>
            </w:r>
          </w:p>
          <w:p>
            <w:r>
              <w:rPr>
                <w:rFonts w:ascii="Arial" w:cs="Arial" w:eastAsia="Arial" w:hAnsi="Arial"/>
                <w:sz w:val="20"/>
                <w:szCs w:val="20"/>
              </w:rPr>
              <w:t xml:space="preserve">Date: _____________________________</w:t>
            </w:r>
          </w:p>
        </w:tc>
        <w:tc>
          <w:tcPr>
            <w:tcW w:type="dxa" w:w="4680"/>
            <w:tcBorders>
              <w:top w:val="single" w:color="CCCCCC" w:sz="1"/>
              <w:left w:val="single" w:color="CCCCCC" w:sz="1"/>
              <w:bottom w:val="single" w:color="CCCCCC" w:sz="1"/>
              <w:right w:val="single" w:color="CCCCCC" w:sz="1"/>
            </w:tcBorders>
            <w:tcMar>
              <w:top w:type="dxa" w:w="200"/>
              <w:left w:type="dxa" w:w="160"/>
              <w:bottom w:type="dxa" w:w="400"/>
              <w:right w:type="dxa" w:w="160"/>
            </w:tcMar>
          </w:tcPr>
          <w:p>
            <w:r>
              <w:rPr>
                <w:rFonts w:ascii="Arial" w:cs="Arial" w:eastAsia="Arial" w:hAnsi="Arial"/>
                <w:b/>
                <w:bCs/>
                <w:sz w:val="22"/>
                <w:szCs w:val="22"/>
              </w:rPr>
              <w:t xml:space="preserve">For Agarwal Steel &amp; Alloys Ltd.</w:t>
            </w:r>
          </w:p>
          <w:p>
            <w:pPr>
              <w:spacing w:before="320"/>
            </w:pPr>
            <w:r>
              <w:rPr>
                <w:rFonts w:ascii="Arial" w:cs="Arial" w:eastAsia="Arial" w:hAnsi="Arial"/>
                <w:color w:val="888888"/>
                <w:sz w:val="20"/>
                <w:szCs w:val="20"/>
              </w:rPr>
              <w:t xml:space="preserve">Authorised Signatory</w:t>
            </w:r>
          </w:p>
          <w:p>
            <w:r>
              <w:rPr>
                <w:rFonts w:ascii="Arial" w:cs="Arial" w:eastAsia="Arial" w:hAnsi="Arial"/>
                <w:sz w:val="20"/>
                <w:szCs w:val="20"/>
              </w:rPr>
              <w:t xml:space="preserve">Name: ____________________________</w:t>
            </w:r>
          </w:p>
          <w:p>
            <w:r>
              <w:rPr>
                <w:rFonts w:ascii="Arial" w:cs="Arial" w:eastAsia="Arial" w:hAnsi="Arial"/>
                <w:sz w:val="20"/>
                <w:szCs w:val="20"/>
              </w:rPr>
              <w:t xml:space="preserve">Designation: ______________________</w:t>
            </w:r>
          </w:p>
          <w:p>
            <w:r>
              <w:rPr>
                <w:rFonts w:ascii="Arial" w:cs="Arial" w:eastAsia="Arial" w:hAnsi="Arial"/>
                <w:sz w:val="20"/>
                <w:szCs w:val="20"/>
              </w:rPr>
              <w:t xml:space="preserve">Date: _____________________________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Confidential — GDoc AI ERP Test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20"/>
        <w:szCs w:val="20"/>
      </w:rPr>
      <w:t xml:space="preserve">VENDOR SUPPLY AGREEMENT</w:t>
    </w:r>
    <w:r>
      <w:rPr>
        <w:rFonts w:ascii="Arial" w:cs="Arial" w:eastAsia="Arial" w:hAnsi="Arial"/>
        <w:color w:val="888888"/>
        <w:sz w:val="18"/>
        <w:szCs w:val="18"/>
      </w:rPr>
      <w:t xml:space="preserve">          Contract No: VSA-2024-0047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2026-06-23T09:22:00.035Z</dcterms:created>
  <dcterms:modified xsi:type="dcterms:W3CDTF">2026-06-23T09:22:00.035Z</dcterms:modified>
</cp:coreProperties>
</file>

<file path=docProps/custom.xml><?xml version="1.0" encoding="utf-8"?>
<Properties xmlns="http://schemas.openxmlformats.org/officeDocument/2006/custom-properties" xmlns:vt="http://schemas.openxmlformats.org/officeDocument/2006/docPropsVTypes"/>
</file>