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530"/>
        </w:rPr>
        <w:t>Demande d’informations — Intégration Active Directory</w:t>
      </w:r>
    </w:p>
    <w:p>
      <w:r>
        <w:rPr>
          <w:b/>
          <w:i w:val="0"/>
          <w:sz w:val="26"/>
        </w:rPr>
        <w:t>Intranet NÉRÉ Mining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Objet : connecter l’intranet NÉRÉ Mining à l’Active Directory de l’entreprise (authentification des employés et/ou synchronisation de l’annuaire).</w:t>
      </w:r>
    </w:p>
    <w:p>
      <w:r>
        <w:rPr>
          <w:b w:val="0"/>
          <w:i w:val="0"/>
          <w:sz w:val="22"/>
        </w:rPr>
        <w:t>Destinataire : Direction des Systèmes d’Information (DSI) / Administrateur Active Directory.</w:t>
      </w:r>
    </w:p>
    <w:p>
      <w:r>
        <w:rPr>
          <w:b w:val="0"/>
          <w:i w:val="0"/>
          <w:sz w:val="22"/>
        </w:rPr>
        <w:t>Serveur applicatif concerné : 192.168.10.206 (serveur web IIS hébergeant l’intranet).</w:t>
      </w:r>
    </w:p>
    <w:p>
      <w:pPr>
        <w:pStyle w:val="Heading1"/>
      </w:pPr>
      <w:r>
        <w:rPr>
          <w:color w:val="C83530"/>
        </w:rPr>
        <w:t>1. Contrôleur de domaine (serveur AD)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752"/>
          </w:tcPr>
          <w:p>
            <w:r/>
            <w:r>
              <w:rPr>
                <w:b/>
              </w:rPr>
              <w:t>Information demandée</w:t>
            </w:r>
          </w:p>
        </w:tc>
        <w:tc>
          <w:tcPr>
            <w:tcW w:type="dxa" w:w="4032"/>
          </w:tcPr>
          <w:p>
            <w:r/>
            <w:r>
              <w:rPr>
                <w:b/>
              </w:rPr>
              <w:t>Réponse DSI</w:t>
            </w:r>
          </w:p>
        </w:tc>
      </w:tr>
      <w:tr>
        <w:tc>
          <w:tcPr>
            <w:tcW w:type="dxa" w:w="4752"/>
          </w:tcPr>
          <w:p>
            <w:r>
              <w:t>Nom DNS du contrôleur de domaine (FQDN) — ex. dc01.nere-mining.local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4752"/>
          </w:tcPr>
          <w:p>
            <w:r>
              <w:t>Adresse IP du contrôleur de domaine — ex. 192.168.10.x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4752"/>
          </w:tcPr>
          <w:p>
            <w:r>
              <w:t>Contrôleur de domaine secondaire (si redondance)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4752"/>
          </w:tcPr>
          <w:p>
            <w:r>
              <w:t>Nom de domaine Active Directory complet — ex. nere-mining.local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4752"/>
          </w:tcPr>
          <w:p>
            <w:r>
              <w:t>Nom NetBIOS du domaine (nom court) — ex. NEREMINING</w:t>
            </w:r>
          </w:p>
        </w:tc>
        <w:tc>
          <w:tcPr>
            <w:tcW w:type="dxa" w:w="4032"/>
          </w:tcPr>
          <w:p>
            <w:r/>
          </w:p>
        </w:tc>
      </w:tr>
    </w:tbl>
    <w:p>
      <w:pPr>
        <w:pStyle w:val="Heading1"/>
      </w:pPr>
      <w:r>
        <w:rPr>
          <w:color w:val="C83530"/>
        </w:rPr>
        <w:t>2. Protocole et port de connexion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752"/>
          </w:tcPr>
          <w:p>
            <w:r/>
            <w:r>
              <w:rPr>
                <w:b/>
              </w:rPr>
              <w:t>Information demandée</w:t>
            </w:r>
          </w:p>
        </w:tc>
        <w:tc>
          <w:tcPr>
            <w:tcW w:type="dxa" w:w="4032"/>
          </w:tcPr>
          <w:p>
            <w:r/>
            <w:r>
              <w:rPr>
                <w:b/>
              </w:rPr>
              <w:t>Réponse DSI</w:t>
            </w:r>
          </w:p>
        </w:tc>
      </w:tr>
      <w:tr>
        <w:tc>
          <w:tcPr>
            <w:tcW w:type="dxa" w:w="4752"/>
          </w:tcPr>
          <w:p>
            <w:r>
              <w:t>Protocole autorisé : LDAP (389) ou LDAPS chiffré (636)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4752"/>
          </w:tcPr>
          <w:p>
            <w:r>
              <w:t>Port à utiliser (636 recommandé)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4752"/>
          </w:tcPr>
          <w:p>
            <w:r>
              <w:t>LDAPS activé sur le DC ? (certificat SSL)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4752"/>
          </w:tcPr>
          <w:p>
            <w:r>
              <w:t>Si LDAPS : certificat racine (CA) à fournir (.cer)</w:t>
            </w:r>
          </w:p>
        </w:tc>
        <w:tc>
          <w:tcPr>
            <w:tcW w:type="dxa" w:w="4032"/>
          </w:tcPr>
          <w:p>
            <w:r/>
          </w:p>
        </w:tc>
      </w:tr>
    </w:tbl>
    <w:p>
      <w:r>
        <w:rPr>
          <w:b w:val="0"/>
          <w:i/>
          <w:color w:val="444444"/>
          <w:sz w:val="22"/>
        </w:rPr>
        <w:t>⚠ Pour l’authentification par mot de passe, LDAPS (636) est fortement recommandé : sans lui, les identifiants transitent en clair sur le réseau.</w:t>
      </w:r>
    </w:p>
    <w:p>
      <w:pPr>
        <w:pStyle w:val="Heading1"/>
      </w:pPr>
      <w:r>
        <w:rPr>
          <w:color w:val="C83530"/>
        </w:rPr>
        <w:t>3. Structure de l’annuaire (DN / OU)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752"/>
          </w:tcPr>
          <w:p>
            <w:r/>
            <w:r>
              <w:rPr>
                <w:b/>
              </w:rPr>
              <w:t>Information demandée</w:t>
            </w:r>
          </w:p>
        </w:tc>
        <w:tc>
          <w:tcPr>
            <w:tcW w:type="dxa" w:w="4032"/>
          </w:tcPr>
          <w:p>
            <w:r/>
            <w:r>
              <w:rPr>
                <w:b/>
              </w:rPr>
              <w:t>Réponse DSI</w:t>
            </w:r>
          </w:p>
        </w:tc>
      </w:tr>
      <w:tr>
        <w:tc>
          <w:tcPr>
            <w:tcW w:type="dxa" w:w="4752"/>
          </w:tcPr>
          <w:p>
            <w:r>
              <w:t>Base DN (racine du domaine) — ex. DC=nere-mining,DC=local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4752"/>
          </w:tcPr>
          <w:p>
            <w:r>
              <w:t>OU contenant les comptes employés — ex. OU=Employes,DC=nere-mining,DC=local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4752"/>
          </w:tcPr>
          <w:p>
            <w:r>
              <w:t>Inclure les sous-OU (recherche récursive) ? Oui / Non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4752"/>
          </w:tcPr>
          <w:p>
            <w:r>
              <w:t>OU(s) à exclure (comptes de service, désactivés…)</w:t>
            </w:r>
          </w:p>
        </w:tc>
        <w:tc>
          <w:tcPr>
            <w:tcW w:type="dxa" w:w="4032"/>
          </w:tcPr>
          <w:p>
            <w:r/>
          </w:p>
        </w:tc>
      </w:tr>
    </w:tbl>
    <w:p>
      <w:pPr>
        <w:pStyle w:val="Heading1"/>
      </w:pPr>
      <w:r>
        <w:rPr>
          <w:color w:val="C83530"/>
        </w:rPr>
        <w:t>4. Compte de service (lecture de l’annuaire)</w:t>
      </w:r>
    </w:p>
    <w:p>
      <w:r>
        <w:rPr>
          <w:b w:val="0"/>
          <w:i w:val="0"/>
          <w:sz w:val="22"/>
        </w:rPr>
        <w:t>Un compte dédié est nécessaire pour que l’application interroge l’AD en lecture seule.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752"/>
          </w:tcPr>
          <w:p>
            <w:r/>
            <w:r>
              <w:rPr>
                <w:b/>
              </w:rPr>
              <w:t>Information demandée</w:t>
            </w:r>
          </w:p>
        </w:tc>
        <w:tc>
          <w:tcPr>
            <w:tcW w:type="dxa" w:w="4032"/>
          </w:tcPr>
          <w:p>
            <w:r/>
            <w:r>
              <w:rPr>
                <w:b/>
              </w:rPr>
              <w:t>Réponse DSI</w:t>
            </w:r>
          </w:p>
        </w:tc>
      </w:tr>
      <w:tr>
        <w:tc>
          <w:tcPr>
            <w:tcW w:type="dxa" w:w="4752"/>
          </w:tcPr>
          <w:p>
            <w:r>
              <w:t>Identifiant du compte de service (UPN ou DN) — ex. svc_intranet@nere-mining.local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4752"/>
          </w:tcPr>
          <w:p>
            <w:r>
              <w:t>Mot de passe du compte de service (transmettre de façon sécurisée)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4752"/>
          </w:tcPr>
          <w:p>
            <w:r>
              <w:t>Droits : lecture seule sur l’annuaire (confirmer)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4752"/>
          </w:tcPr>
          <w:p>
            <w:r>
              <w:t>Mot de passe à expiration désactivée ? Oui / Non</w:t>
            </w:r>
          </w:p>
        </w:tc>
        <w:tc>
          <w:tcPr>
            <w:tcW w:type="dxa" w:w="4032"/>
          </w:tcPr>
          <w:p>
            <w:r/>
          </w:p>
        </w:tc>
      </w:tr>
    </w:tbl>
    <w:p>
      <w:r>
        <w:rPr>
          <w:b w:val="0"/>
          <w:i/>
          <w:color w:val="444444"/>
          <w:sz w:val="22"/>
        </w:rPr>
        <w:t>Ce compte n’a besoin que de LIRE l’annuaire (aucun droit d’administration).</w:t>
      </w:r>
    </w:p>
    <w:p>
      <w:pPr>
        <w:pStyle w:val="Heading1"/>
      </w:pPr>
      <w:r>
        <w:rPr>
          <w:color w:val="C83530"/>
        </w:rPr>
        <w:t>5. Attributs utilisateurs disponibles</w:t>
      </w:r>
    </w:p>
    <w:p>
      <w:r>
        <w:rPr>
          <w:b w:val="0"/>
          <w:i w:val="0"/>
          <w:sz w:val="22"/>
        </w:rPr>
        <w:t>Merci de confirmer quels attributs AD sont renseignés et exploitables.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Donnée intranet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Attribut AD attendu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Renseigné ? (O/N)</w:t>
            </w:r>
          </w:p>
        </w:tc>
      </w:tr>
      <w:tr>
        <w:tc>
          <w:tcPr>
            <w:tcW w:type="dxa" w:w="2880"/>
          </w:tcPr>
          <w:p>
            <w:r>
              <w:t>Identifiant de connexion</w:t>
            </w:r>
          </w:p>
        </w:tc>
        <w:tc>
          <w:tcPr>
            <w:tcW w:type="dxa" w:w="2880"/>
          </w:tcPr>
          <w:p>
            <w:r>
              <w:t>sAMAccountName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Adresse e-mail</w:t>
            </w:r>
          </w:p>
        </w:tc>
        <w:tc>
          <w:tcPr>
            <w:tcW w:type="dxa" w:w="2880"/>
          </w:tcPr>
          <w:p>
            <w:r>
              <w:t>mail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Prénom</w:t>
            </w:r>
          </w:p>
        </w:tc>
        <w:tc>
          <w:tcPr>
            <w:tcW w:type="dxa" w:w="2880"/>
          </w:tcPr>
          <w:p>
            <w:r>
              <w:t>givenName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Nom</w:t>
            </w:r>
          </w:p>
        </w:tc>
        <w:tc>
          <w:tcPr>
            <w:tcW w:type="dxa" w:w="2880"/>
          </w:tcPr>
          <w:p>
            <w:r>
              <w:t>sn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Nom complet affiché</w:t>
            </w:r>
          </w:p>
        </w:tc>
        <w:tc>
          <w:tcPr>
            <w:tcW w:type="dxa" w:w="2880"/>
          </w:tcPr>
          <w:p>
            <w:r>
              <w:t>displayName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Département / service</w:t>
            </w:r>
          </w:p>
        </w:tc>
        <w:tc>
          <w:tcPr>
            <w:tcW w:type="dxa" w:w="2880"/>
          </w:tcPr>
          <w:p>
            <w:r>
              <w:t>department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Poste / fonction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Téléphone fixe</w:t>
            </w:r>
          </w:p>
        </w:tc>
        <w:tc>
          <w:tcPr>
            <w:tcW w:type="dxa" w:w="2880"/>
          </w:tcPr>
          <w:p>
            <w:r>
              <w:t>telephoneNumber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Téléphone mobile</w:t>
            </w:r>
          </w:p>
        </w:tc>
        <w:tc>
          <w:tcPr>
            <w:tcW w:type="dxa" w:w="2880"/>
          </w:tcPr>
          <w:p>
            <w:r>
              <w:t>mobile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Matricule RH (si présent)</w:t>
            </w:r>
          </w:p>
        </w:tc>
        <w:tc>
          <w:tcPr>
            <w:tcW w:type="dxa" w:w="2880"/>
          </w:tcPr>
          <w:p>
            <w:r>
              <w:t>employeeID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Manager / responsable</w:t>
            </w:r>
          </w:p>
        </w:tc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b w:val="0"/>
          <w:i/>
          <w:color w:val="444444"/>
          <w:sz w:val="22"/>
        </w:rPr>
        <w:t>Si les noms de départements dans l’AD diffèrent de ceux de l’intranet (ex. « IT » vs « Informatique »), merci de fournir la correspondance.</w:t>
      </w:r>
    </w:p>
    <w:p>
      <w:pPr>
        <w:pStyle w:val="Heading1"/>
      </w:pPr>
      <w:r>
        <w:rPr>
          <w:color w:val="C83530"/>
        </w:rPr>
        <w:t>6. Accès réseau (pare-feu)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752"/>
          </w:tcPr>
          <w:p>
            <w:r/>
            <w:r>
              <w:rPr>
                <w:b/>
              </w:rPr>
              <w:t>Information demandée</w:t>
            </w:r>
          </w:p>
        </w:tc>
        <w:tc>
          <w:tcPr>
            <w:tcW w:type="dxa" w:w="4032"/>
          </w:tcPr>
          <w:p>
            <w:r/>
            <w:r>
              <w:rPr>
                <w:b/>
              </w:rPr>
              <w:t>Réponse DSI</w:t>
            </w:r>
          </w:p>
        </w:tc>
      </w:tr>
      <w:tr>
        <w:tc>
          <w:tcPr>
            <w:tcW w:type="dxa" w:w="4752"/>
          </w:tcPr>
          <w:p>
            <w:r>
              <w:t>Le serveur 192.168.10.206 peut-il joindre le DC sur le port 389/636 ?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4752"/>
          </w:tcPr>
          <w:p>
            <w:r>
              <w:t>Une règle de pare-feu doit-elle être ouverte ?</w:t>
            </w:r>
          </w:p>
        </w:tc>
        <w:tc>
          <w:tcPr>
            <w:tcW w:type="dxa" w:w="4032"/>
          </w:tcPr>
          <w:p>
            <w:r/>
          </w:p>
        </w:tc>
      </w:tr>
    </w:tbl>
    <w:p>
      <w:pPr>
        <w:pStyle w:val="Heading1"/>
      </w:pPr>
      <w:r>
        <w:rPr>
          <w:color w:val="C83530"/>
        </w:rPr>
        <w:t>7. Comportement souhaité (à valider ensemble)</w:t>
      </w:r>
    </w:p>
    <w:p>
      <w:r>
        <w:rPr>
          <w:b w:val="0"/>
          <w:i w:val="0"/>
          <w:sz w:val="22"/>
        </w:rPr>
        <w:t>À décider conjointement DSI / métier :</w:t>
      </w:r>
    </w:p>
    <w:p>
      <w:pPr>
        <w:pStyle w:val="ListBullet"/>
      </w:pPr>
      <w:r>
        <w:t>Authentification AD : connexion avec le login Windows (plus de mot de passe géré dans l’intranet) ?</w:t>
      </w:r>
    </w:p>
    <w:p>
      <w:pPr>
        <w:pStyle w:val="ListBullet"/>
      </w:pPr>
      <w:r>
        <w:t>Synchronisation de l’annuaire : import/mise à jour automatique des employés depuis l’AD ?</w:t>
      </w:r>
    </w:p>
    <w:p>
      <w:pPr>
        <w:pStyle w:val="ListBullet"/>
      </w:pPr>
      <w:r>
        <w:t>Les deux ?</w:t>
      </w:r>
    </w:p>
    <w:p>
      <w:pPr>
        <w:pStyle w:val="ListBullet"/>
      </w:pPr>
      <w:r>
        <w:t>Création automatique du compte intranet à la première connexion AD ?</w:t>
      </w:r>
    </w:p>
    <w:p>
      <w:pPr>
        <w:pStyle w:val="ListBullet"/>
      </w:pPr>
      <w:r>
        <w:t>Fréquence de synchronisation (temps réel / horaire / quotidienne) ?</w:t>
      </w:r>
    </w:p>
    <w:p>
      <w:pPr>
        <w:pStyle w:val="ListBullet"/>
      </w:pPr>
      <w:r>
        <w:t>Que faire des comptes AD désactivés (bloquer l’accès à l’intranet) ?</w:t>
      </w:r>
    </w:p>
    <w:p>
      <w:pPr>
        <w:pStyle w:val="Heading1"/>
      </w:pPr>
      <w:r>
        <w:rPr>
          <w:color w:val="C83530"/>
        </w:rPr>
        <w:t>8. Compte de test</w:t>
      </w:r>
    </w:p>
    <w:p>
      <w:r>
        <w:rPr>
          <w:b w:val="0"/>
          <w:i w:val="0"/>
          <w:sz w:val="22"/>
        </w:rPr>
        <w:t>Pour valider l’intégration sans impacter la production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752"/>
          </w:tcPr>
          <w:p>
            <w:r/>
            <w:r>
              <w:rPr>
                <w:b/>
              </w:rPr>
              <w:t>Information demandée</w:t>
            </w:r>
          </w:p>
        </w:tc>
        <w:tc>
          <w:tcPr>
            <w:tcW w:type="dxa" w:w="4032"/>
          </w:tcPr>
          <w:p>
            <w:r/>
            <w:r>
              <w:rPr>
                <w:b/>
              </w:rPr>
              <w:t>Réponse DSI</w:t>
            </w:r>
          </w:p>
        </w:tc>
      </w:tr>
      <w:tr>
        <w:tc>
          <w:tcPr>
            <w:tcW w:type="dxa" w:w="4752"/>
          </w:tcPr>
          <w:p>
            <w:r>
              <w:t>Un compte AD de test (login + mot de passe)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4752"/>
          </w:tcPr>
          <w:p>
            <w:r>
              <w:t>Appartenant à l’OU des employés</w:t>
            </w:r>
          </w:p>
        </w:tc>
        <w:tc>
          <w:tcPr>
            <w:tcW w:type="dxa" w:w="4032"/>
          </w:tcPr>
          <w:p>
            <w:r/>
          </w:p>
        </w:tc>
      </w:tr>
    </w:tbl>
    <w:p>
      <w:pPr>
        <w:pStyle w:val="Heading1"/>
      </w:pPr>
      <w:r>
        <w:rPr>
          <w:color w:val="C83530"/>
        </w:rPr>
        <w:t>Rappel technique (côté intranet, géré par nous)</w:t>
      </w:r>
    </w:p>
    <w:p>
      <w:pPr>
        <w:pStyle w:val="ListBullet"/>
      </w:pPr>
      <w:r>
        <w:t>Extension PHP « ldap » à activer sur le serveur web.</w:t>
      </w:r>
    </w:p>
    <w:p>
      <w:pPr>
        <w:pStyle w:val="ListBullet"/>
      </w:pPr>
      <w:r>
        <w:t>Librairie directorytree/ldaprecord-laravel à installer (standard du marché).</w:t>
      </w:r>
    </w:p>
    <w:p>
      <w:pPr>
        <w:pStyle w:val="ListBullet"/>
      </w:pPr>
      <w:r>
        <w:t>Les identifiants AD seront stockés dans le fichier .env du serveur (non versionné, non partagé).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