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 *No intervention methods / unclear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Firstly, an updated password policy is required immediately as the current policy, though present, is described as “nominal” and doesn’t meet current standards. It’s also obvious that a separation of duties policy is needed, as currently a high security risk to the company is the fact that many employees have unauthorized access to critical assets and customer data. Finally, no standards defined by the PCI DSS are being actively enforced and least privilege, encryption, and password management policies are critically needed to ensure the confidentiality of customer PII.</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