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SABR: Spacer Alignment-Based Recognition for CRISPR-Phage Targeting Evidence</w:t>
      </w:r>
    </w:p>
    <w:p>
      <w:r>
        <w:t>A transparent workflow for CRISPR spacer-targeting evidence, PAM/PFS diagnostics, and repeat-derived CRISPR-Cas subtype prediction.</w:t>
      </w:r>
    </w:p>
    <w:p>
      <w:pPr>
        <w:pStyle w:val="Heading1"/>
      </w:pPr>
      <w:r>
        <w:t>Abstract</w:t>
      </w:r>
    </w:p>
    <w:p>
      <w:r>
        <w:t>SABR is an early-stage bioinformatics workflow that accepts bacterial and phage FASTA files, detects candidate CRISPR arrays, extracts spacers and repeats, searches spacers against phage genomes, evaluates PAM/PFS support, predicts likely CRISPR-Cas subtype from repeat/array features, and reports bacteria-by-phage CRISPR targeting evidence. SABR is intentionally framed as an evidence mapper rather than a direct resistance caller. The best documented current production-candidate model was a flat ExtraTrees classifier with 0.9152 genus-holdout accuracy. A CRISPRCasdb-trained experimental ExtraTrees model achieved 0.9455 internal genome-holdout accuracy and transferred well to the current SABR table, but it remains a computational-label model requiring independent curated validation before final replacement.</w:t>
      </w:r>
    </w:p>
    <w:p>
      <w:pPr>
        <w:pStyle w:val="Heading1"/>
      </w:pPr>
      <w:r>
        <w:t>Scientific Framing</w:t>
      </w:r>
    </w:p>
    <w:p>
      <w:r>
        <w:t>Spacer-protospacer matches are evidence of possible CRISPR targeting or prior exposure, not proof of biological resistance. Resistance also depends on subtype, PAM/PFS compatibility, seed conservation, functional cas genes, expression, phage escape, anti-CRISPR genes, and assembly quality. SABR therefore reports CRISPR targeting evidence, not confirmed resistance.</w:t>
      </w:r>
    </w:p>
    <w:p>
      <w:pPr>
        <w:pStyle w:val="Heading1"/>
      </w:pPr>
      <w:r>
        <w:t>Workflow</w:t>
      </w:r>
    </w:p>
    <w:p>
      <w:r>
        <w:t>The pipeline parses bacterial and phage FASTA files, reports sequence diagnostics, detects candidate CRISPR arrays, extracts repeats and spacers, matches spacers against phage genomes, predicts Cas subtype from repeat/array features, evaluates PAM/PFS support, summarizes seed mismatches, and exports evidence matrices and detailed tables.</w:t>
      </w:r>
    </w:p>
    <w:p>
      <w:r>
        <w:drawing>
          <wp:inline xmlns:a="http://schemas.openxmlformats.org/drawingml/2006/main" xmlns:pic="http://schemas.openxmlformats.org/drawingml/2006/picture">
            <wp:extent cx="5669280" cy="314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score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1. Benchmark CRISPR targeting evidence scores.</w:t>
      </w:r>
    </w:p>
    <w:p>
      <w:pPr>
        <w:pStyle w:val="Heading1"/>
      </w:pPr>
      <w:r>
        <w:t>Cas Subtype Model Development</w:t>
      </w:r>
    </w:p>
    <w:p>
      <w:r>
        <w:t>SABR uses features derivable from uploaded FASTA files, including repeat length, base composition, k-mer composition, terminal features, spacer count, mean spacer length, and hairpin-like repeat features. Runtime prediction does not use organism name, taxonomy, accession, source database, or cas-gene annotation as model features.</w:t>
      </w:r>
    </w:p>
    <w:p>
      <w:r>
        <w:drawing>
          <wp:inline xmlns:a="http://schemas.openxmlformats.org/drawingml/2006/main" xmlns:pic="http://schemas.openxmlformats.org/drawingml/2006/picture">
            <wp:extent cx="5669280" cy="3149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_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2. Model comparison across current and CRISPRCasdb-derived datasets.</w:t>
      </w:r>
    </w:p>
    <w:p>
      <w:pPr>
        <w:pStyle w:val="Heading1"/>
      </w:pPr>
      <w:r>
        <w:t>Model Results</w:t>
      </w:r>
    </w:p>
    <w:p>
      <w:r>
        <w:t>Table 1. Main model comparisons and transfer experiments.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dataset</w:t>
            </w:r>
          </w:p>
        </w:tc>
        <w:tc>
          <w:tcPr>
            <w:tcW w:type="dxa" w:w="1728"/>
          </w:tcPr>
          <w:p>
            <w:r>
              <w:t>method</w:t>
            </w:r>
          </w:p>
        </w:tc>
        <w:tc>
          <w:tcPr>
            <w:tcW w:type="dxa" w:w="1728"/>
          </w:tcPr>
          <w:p>
            <w:r>
              <w:t>group_column</w:t>
            </w:r>
          </w:p>
        </w:tc>
        <w:tc>
          <w:tcPr>
            <w:tcW w:type="dxa" w:w="1728"/>
          </w:tcPr>
          <w:p>
            <w:r>
              <w:t>accuracy</w:t>
            </w:r>
          </w:p>
        </w:tc>
        <w:tc>
          <w:tcPr>
            <w:tcW w:type="dxa" w:w="1728"/>
          </w:tcPr>
          <w:p>
            <w:r>
              <w:t>notes</w:t>
            </w:r>
          </w:p>
        </w:tc>
      </w:tr>
      <w:tr>
        <w:tc>
          <w:tcPr>
            <w:tcW w:type="dxa" w:w="1728"/>
          </w:tcPr>
          <w:p>
            <w:r>
              <w:t>augmented_crisprcasdb_sql_balanced</w:t>
            </w:r>
          </w:p>
        </w:tc>
        <w:tc>
          <w:tcPr>
            <w:tcW w:type="dxa" w:w="1728"/>
          </w:tcPr>
          <w:p>
            <w:r>
              <w:t>extra_trees</w:t>
            </w:r>
          </w:p>
        </w:tc>
        <w:tc>
          <w:tcPr>
            <w:tcW w:type="dxa" w:w="1728"/>
          </w:tcPr>
          <w:p>
            <w:r>
              <w:t>genus</w:t>
            </w:r>
          </w:p>
        </w:tc>
        <w:tc>
          <w:tcPr>
            <w:tcW w:type="dxa" w:w="1728"/>
          </w:tcPr>
          <w:p>
            <w:r>
              <w:t>0.9050</w:t>
            </w:r>
          </w:p>
        </w:tc>
        <w:tc>
          <w:tcPr>
            <w:tcW w:type="dxa" w:w="1728"/>
          </w:tcPr>
          <w:p>
            <w:r>
              <w:t>adds 3535 novel non-conflicting CRISPRCasdb SQL candidates capped at 500 per subtype</w:t>
            </w:r>
          </w:p>
        </w:tc>
      </w:tr>
      <w:tr>
        <w:tc>
          <w:tcPr>
            <w:tcW w:type="dxa" w:w="1728"/>
          </w:tcPr>
          <w:p>
            <w:r>
              <w:t>augmented_crisprcasdb_typeiii_balanced</w:t>
            </w:r>
          </w:p>
        </w:tc>
        <w:tc>
          <w:tcPr>
            <w:tcW w:type="dxa" w:w="1728"/>
          </w:tcPr>
          <w:p>
            <w:r>
              <w:t>extra_trees</w:t>
            </w:r>
          </w:p>
        </w:tc>
        <w:tc>
          <w:tcPr>
            <w:tcW w:type="dxa" w:w="1728"/>
          </w:tcPr>
          <w:p>
            <w:r>
              <w:t>genus</w:t>
            </w:r>
          </w:p>
        </w:tc>
        <w:tc>
          <w:tcPr>
            <w:tcW w:type="dxa" w:w="1728"/>
          </w:tcPr>
          <w:p>
            <w:r>
              <w:t>0.9004</w:t>
            </w:r>
          </w:p>
        </w:tc>
        <w:tc>
          <w:tcPr>
            <w:tcW w:type="dxa" w:w="1728"/>
          </w:tcPr>
          <w:p>
            <w:r>
              <w:t>adds 714 novel non-conflicting CRISPRCasdb SQL candidates restricted to III-A/III-B/III-C/III-D</w:t>
            </w:r>
          </w:p>
        </w:tc>
      </w:tr>
      <w:tr>
        <w:tc>
          <w:tcPr>
            <w:tcW w:type="dxa" w:w="1728"/>
          </w:tcPr>
          <w:p>
            <w:r>
              <w:t>current_best_vink_genbank_targeted</w:t>
            </w:r>
          </w:p>
        </w:tc>
        <w:tc>
          <w:tcPr>
            <w:tcW w:type="dxa" w:w="1728"/>
          </w:tcPr>
          <w:p>
            <w:r>
              <w:t>nearest_repeat</w:t>
            </w:r>
          </w:p>
        </w:tc>
        <w:tc>
          <w:tcPr>
            <w:tcW w:type="dxa" w:w="1728"/>
          </w:tcPr>
          <w:p>
            <w:r>
              <w:t>genome_id</w:t>
            </w:r>
          </w:p>
        </w:tc>
        <w:tc>
          <w:tcPr>
            <w:tcW w:type="dxa" w:w="1728"/>
          </w:tcPr>
          <w:p>
            <w:r>
              <w:t>0.9084</w:t>
            </w:r>
          </w:p>
        </w:tc>
        <w:tc>
          <w:tcPr>
            <w:tcW w:type="dxa" w:w="1728"/>
          </w:tcPr>
          <w:p>
            <w:r>
              <w:t>current best table under genome/accession holdout</w:t>
            </w:r>
          </w:p>
        </w:tc>
      </w:tr>
      <w:tr>
        <w:tc>
          <w:tcPr>
            <w:tcW w:type="dxa" w:w="1728"/>
          </w:tcPr>
          <w:p>
            <w:r>
              <w:t>current_best_vink_genbank_targeted</w:t>
            </w:r>
          </w:p>
        </w:tc>
        <w:tc>
          <w:tcPr>
            <w:tcW w:type="dxa" w:w="1728"/>
          </w:tcPr>
          <w:p>
            <w:r>
              <w:t>extra_trees</w:t>
            </w:r>
          </w:p>
        </w:tc>
        <w:tc>
          <w:tcPr>
            <w:tcW w:type="dxa" w:w="1728"/>
          </w:tcPr>
          <w:p>
            <w:r>
              <w:t>genome_id</w:t>
            </w:r>
          </w:p>
        </w:tc>
        <w:tc>
          <w:tcPr>
            <w:tcW w:type="dxa" w:w="1728"/>
          </w:tcPr>
          <w:p>
            <w:r>
              <w:t>0.9266</w:t>
            </w:r>
          </w:p>
        </w:tc>
        <w:tc>
          <w:tcPr>
            <w:tcW w:type="dxa" w:w="1728"/>
          </w:tcPr>
          <w:p>
            <w:r>
              <w:t>current best table under genome/accession holdout</w:t>
            </w:r>
          </w:p>
        </w:tc>
      </w:tr>
      <w:tr>
        <w:tc>
          <w:tcPr>
            <w:tcW w:type="dxa" w:w="1728"/>
          </w:tcPr>
          <w:p>
            <w:r>
              <w:t>crisprcasdb_sql_candidate_only</w:t>
            </w:r>
          </w:p>
        </w:tc>
        <w:tc>
          <w:tcPr>
            <w:tcW w:type="dxa" w:w="1728"/>
          </w:tcPr>
          <w:p>
            <w:r>
              <w:t>nearest_repeat</w:t>
            </w:r>
          </w:p>
        </w:tc>
        <w:tc>
          <w:tcPr>
            <w:tcW w:type="dxa" w:w="1728"/>
          </w:tcPr>
          <w:p>
            <w:r>
              <w:t>genome_id</w:t>
            </w:r>
          </w:p>
        </w:tc>
        <w:tc>
          <w:tcPr>
            <w:tcW w:type="dxa" w:w="1728"/>
          </w:tcPr>
          <w:p>
            <w:r>
              <w:t>0.9389</w:t>
            </w:r>
          </w:p>
        </w:tc>
        <w:tc>
          <w:tcPr>
            <w:tcW w:type="dxa" w:w="1728"/>
          </w:tcPr>
          <w:p>
            <w:r>
              <w:t>CRISPRCasdb SQL computational candidates only; strong internal consistency but not curated gold truth</w:t>
            </w:r>
          </w:p>
        </w:tc>
      </w:tr>
      <w:tr>
        <w:tc>
          <w:tcPr>
            <w:tcW w:type="dxa" w:w="1728"/>
          </w:tcPr>
          <w:p>
            <w:r>
              <w:t>crisprcasdb_sql_candidate_only</w:t>
            </w:r>
          </w:p>
        </w:tc>
        <w:tc>
          <w:tcPr>
            <w:tcW w:type="dxa" w:w="1728"/>
          </w:tcPr>
          <w:p>
            <w:r>
              <w:t>extra_trees</w:t>
            </w:r>
          </w:p>
        </w:tc>
        <w:tc>
          <w:tcPr>
            <w:tcW w:type="dxa" w:w="1728"/>
          </w:tcPr>
          <w:p>
            <w:r>
              <w:t>genome_id</w:t>
            </w:r>
          </w:p>
        </w:tc>
        <w:tc>
          <w:tcPr>
            <w:tcW w:type="dxa" w:w="1728"/>
          </w:tcPr>
          <w:p>
            <w:r>
              <w:t>0.9455</w:t>
            </w:r>
          </w:p>
        </w:tc>
        <w:tc>
          <w:tcPr>
            <w:tcW w:type="dxa" w:w="1728"/>
          </w:tcPr>
          <w:p>
            <w:r>
              <w:t>CRISPRCasdb SQL computational candidates only; best internal genome-holdout score so far</w:t>
            </w:r>
          </w:p>
        </w:tc>
      </w:tr>
      <w:tr>
        <w:tc>
          <w:tcPr>
            <w:tcW w:type="dxa" w:w="1728"/>
          </w:tcPr>
          <w:p>
            <w:r>
              <w:t>crisprcasdb_train_current_test</w:t>
            </w:r>
          </w:p>
        </w:tc>
        <w:tc>
          <w:tcPr>
            <w:tcW w:type="dxa" w:w="1728"/>
          </w:tcPr>
          <w:p>
            <w:r>
              <w:t>extra_trees</w:t>
            </w:r>
          </w:p>
        </w:tc>
        <w:tc>
          <w:tcPr>
            <w:tcW w:type="dxa" w:w="1728"/>
          </w:tcPr>
          <w:p>
            <w:r>
              <w:t>current_table</w:t>
            </w:r>
          </w:p>
        </w:tc>
        <w:tc>
          <w:tcPr>
            <w:tcW w:type="dxa" w:w="1728"/>
          </w:tcPr>
          <w:p>
            <w:r>
              <w:t>0.9811</w:t>
            </w:r>
          </w:p>
        </w:tc>
        <w:tc>
          <w:tcPr>
            <w:tcW w:type="dxa" w:w="1728"/>
          </w:tcPr>
          <w:p>
            <w:r>
              <w:t>trained on CRISPRCasdb SQL candidates and tested on current table rows whose labels exist in training; excludes 78 rows from I-U/I-V/V-B/VI-A/VI-C</w:t>
            </w:r>
          </w:p>
        </w:tc>
      </w:tr>
      <w:tr>
        <w:tc>
          <w:tcPr>
            <w:tcW w:type="dxa" w:w="1728"/>
          </w:tcPr>
          <w:p>
            <w:r>
              <w:t>current_train_crisprcasdb_test</w:t>
            </w:r>
          </w:p>
        </w:tc>
        <w:tc>
          <w:tcPr>
            <w:tcW w:type="dxa" w:w="1728"/>
          </w:tcPr>
          <w:p>
            <w:r>
              <w:t>extra_trees</w:t>
            </w:r>
          </w:p>
        </w:tc>
        <w:tc>
          <w:tcPr>
            <w:tcW w:type="dxa" w:w="1728"/>
          </w:tcPr>
          <w:p>
            <w:r>
              <w:t>crisprcasdb_table</w:t>
            </w:r>
          </w:p>
        </w:tc>
        <w:tc>
          <w:tcPr>
            <w:tcW w:type="dxa" w:w="1728"/>
          </w:tcPr>
          <w:p>
            <w:r>
              <w:t>0.9559</w:t>
            </w:r>
          </w:p>
        </w:tc>
        <w:tc>
          <w:tcPr>
            <w:tcW w:type="dxa" w:w="1728"/>
          </w:tcPr>
          <w:p>
            <w:r>
              <w:t>trained on current table and tested on CRISPRCasdb SQL candidate rows whose labels exist in training; excludes 526 rows from unseen candidate subtypes</w:t>
            </w:r>
          </w:p>
        </w:tc>
      </w:tr>
    </w:tbl>
    <w:p>
      <w:pPr>
        <w:pStyle w:val="Heading1"/>
      </w:pPr>
      <w:r>
        <w:t>CRISPRCasdb Experiments</w:t>
      </w:r>
    </w:p>
    <w:p>
      <w:r>
        <w:t>CRISPRCasdb release 34 was imported as both direct-repeat inventories and SQL-derived candidate repeat/Cas labels. The SQL importer linked CRISPR loci to nearest same-sequence Cas clusters and produced 23,507 computational candidate rows. CRISPRCasdb-only training performed strongly, but the labels are computational candidates rather than manually curated gold-standard truth.</w:t>
      </w:r>
    </w:p>
    <w:p>
      <w:r>
        <w:drawing>
          <wp:inline xmlns:a="http://schemas.openxmlformats.org/drawingml/2006/main" xmlns:pic="http://schemas.openxmlformats.org/drawingml/2006/picture">
            <wp:extent cx="5669280" cy="3149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ypeiii_performance_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3. Type III subtype F1 scores across experiments.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4. Probability calibration comparison.</w:t>
      </w:r>
    </w:p>
    <w:p>
      <w:r>
        <w:drawing>
          <wp:inline xmlns:a="http://schemas.openxmlformats.org/drawingml/2006/main" xmlns:pic="http://schemas.openxmlformats.org/drawingml/2006/picture">
            <wp:extent cx="5669280" cy="44094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plus_crisprcasdb_balanced_pca_by_subtyp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0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5. PCA projection colored by subtype.</w:t>
      </w:r>
    </w:p>
    <w:p>
      <w:r>
        <w:drawing>
          <wp:inline xmlns:a="http://schemas.openxmlformats.org/drawingml/2006/main" xmlns:pic="http://schemas.openxmlformats.org/drawingml/2006/picture">
            <wp:extent cx="5669280" cy="44094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plus_crisprcasdb_balanced_tsne_by_subtyp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0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6. Sampled t-SNE projection colored by subtype.</w:t>
      </w:r>
    </w:p>
    <w:p>
      <w:r>
        <w:drawing>
          <wp:inline xmlns:a="http://schemas.openxmlformats.org/drawingml/2006/main" xmlns:pic="http://schemas.openxmlformats.org/drawingml/2006/picture">
            <wp:extent cx="5669280" cy="44094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plus_crisprcasdb_balanced_pca_by_dataset_gro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0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7. PCA projection showing current rows and CRISPRCasdb additions.</w:t>
      </w:r>
    </w:p>
    <w:p>
      <w:r>
        <w:drawing>
          <wp:inline xmlns:a="http://schemas.openxmlformats.org/drawingml/2006/main" xmlns:pic="http://schemas.openxmlformats.org/drawingml/2006/picture">
            <wp:extent cx="5669280" cy="44094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plus_crisprcasdb_typeiii_tsne_by_dataset_gro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0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8. Type III-focused sampled t-SNE by dataset source.</w:t>
      </w:r>
    </w:p>
    <w:p>
      <w:pPr>
        <w:pStyle w:val="Heading1"/>
      </w:pPr>
      <w:r>
        <w:t>Current Interpretation</w:t>
      </w:r>
    </w:p>
    <w:p>
      <w:r>
        <w:t>The strongest current result is that CRISPRCasdb-derived training data are highly useful for repeat-to-subtype learning. However, because CRISPRCasdb labels are computationally derived and overlap conceptually with some existing sources, final claims require independent curated/literature/CCTyper-supported validation. SABR's core contribution remains the integrated, cautious, reproducible evidence framework.</w:t>
      </w:r>
    </w:p>
    <w:p>
      <w:pPr>
        <w:pStyle w:val="Heading1"/>
      </w:pPr>
      <w:r>
        <w:t>Limitations</w:t>
      </w:r>
    </w:p>
    <w:p>
      <w:r>
        <w:t>The internal CRISPR detector is an exact-repeat baseline. Spacer matching is exact by default. PAM/PFS rules are incomplete. CRISPRCasdb candidate labels are not gold-standard labels. Resistance/sensitivity claims remain limited by the small curated benchmark panel. Type III-B and Type III-D remain challenging in several experiments.</w:t>
      </w:r>
    </w:p>
    <w:p>
      <w:pPr>
        <w:pStyle w:val="Heading1"/>
      </w:pPr>
      <w:r>
        <w:t>Future Work</w:t>
      </w:r>
    </w:p>
    <w:p>
      <w:r>
        <w:t>Next steps include independent CCTyper/literature validation, larger bacteria-phage benchmark panels, confidence calibration in the GUI, anti-CRISPR and PAM-failure controls, and a careful decision about replacing the runtime model with the CRISPRCasdb-trained artifact.</w:t>
      </w:r>
    </w:p>
    <w:p>
      <w:pPr>
        <w:pStyle w:val="Heading1"/>
      </w:pPr>
      <w:r>
        <w:t>SVG Assets</w:t>
      </w:r>
    </w:p>
    <w:p>
      <w:r>
        <w:t>Manuscript figures are embedded as PNG for Word compatibility. Matching SVG files are stored in docs/manuscript_assets/ for publication-quality editing.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