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2E5A3E"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46024114_IES Les Rodanes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Luis Vives, 2 - 46191 (Vilamarxant),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46024114_IES Les Rodanes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46024114_IES Les Rodanes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Luis Vives, 2 - 46191 (Vilamarxant),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04/04/2025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07D42B17"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w:t>
      </w:r>
      <w:r w:rsidR="00827254">
        <w:rPr>
          <w:rFonts w:ascii="Arial" w:hAnsi="Arial" w:cs="Arial"/>
        </w:rPr>
        <w:t>48</w:t>
      </w:r>
      <w:r w:rsidR="00603E19">
        <w:rPr>
          <w:rFonts w:ascii="Arial" w:hAnsi="Arial" w:cs="Arial"/>
        </w:rPr>
        <w:t>Ω recomendados</w:t>
      </w:r>
      <w:r>
        <w:rPr>
          <w:rFonts w:ascii="Arial" w:hAnsi="Arial" w:cs="Arial"/>
        </w:rPr>
        <w:t xml:space="preserve">, siendo esta </w:t>
      </w:r>
      <w:r w:rsidR="001F1BEE">
        <w:rPr>
          <w:rFonts w:ascii="Arial" w:hAnsi="Arial" w:cs="Arial"/>
          <w:b/>
          <w:bCs/>
        </w:rPr>
        <w:t>Favorable</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1</w:t>
            </w:r>
          </w:p>
        </w:tc>
        <w:tc>
          <w:tcPr>
            <w:tcW w:type="dxa" w:w="5035"/>
          </w:tcPr>
          <w:p>
            <w:r>
              <w:t>Asd</w:t>
            </w:r>
          </w:p>
        </w:tc>
        <w:tc>
          <w:tcPr>
            <w:tcW w:type="dxa" w:w="2403"/>
          </w:tcPr>
          <w:p>
            <w:r>
              <w:t>4.0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2E5A3E"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28</cp:revision>
  <dcterms:created xsi:type="dcterms:W3CDTF">2023-03-06T08:40:00Z</dcterms:created>
  <dcterms:modified xsi:type="dcterms:W3CDTF">2025-04-04T10:52:00Z</dcterms:modified>
</cp:coreProperties>
</file>