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4F37F6">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4F37F6">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4F37F6">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4F37F6">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4F37F6">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4F37F6">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4F37F6">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4F37F6">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4F37F6">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227345CD" w:rsidR="004348C3" w:rsidRDefault="004348C3" w:rsidP="00922F8E">
      <w:pPr>
        <w:ind w:firstLine="0"/>
      </w:pPr>
    </w:p>
    <w:p w14:paraId="47A315F7" w14:textId="568E7294" w:rsidR="00922F8E" w:rsidRDefault="00922F8E" w:rsidP="00922F8E">
      <w:r>
        <w:t xml:space="preserve">When expressing language,  it is often referred to as being “written” or “spoken” language. However, speakers usually do not make an apparent distinction being the medial and the conceptual. Building upon the theoretical and practically foundations as presented by the likes of (Dipper, Koch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0F3B5DE5" w:rsidR="004D64BD" w:rsidRDefault="004D64BD" w:rsidP="005D21C7">
      <w:pPr>
        <w:ind w:firstLine="0"/>
      </w:pPr>
      <w:bookmarkStart w:id="3" w:name="_Toc75691414"/>
      <w:bookmarkStart w:id="4" w:name="_Toc75691560"/>
    </w:p>
    <w:p w14:paraId="738DE1E5" w14:textId="15F75AC7" w:rsidR="005D21C7" w:rsidRPr="005D21C7" w:rsidRDefault="005D21C7" w:rsidP="005D21C7">
      <w:pPr>
        <w:ind w:firstLine="0"/>
        <w:rPr>
          <w:rFonts w:eastAsia="Times" w:cs="Times"/>
          <w:b/>
          <w:bCs/>
          <w:szCs w:val="40"/>
        </w:rPr>
      </w:pPr>
      <w:r w:rsidRPr="005D21C7">
        <w:rPr>
          <w:b/>
          <w:bCs/>
        </w:rPr>
        <w:t>MENTION THAT YOU WERE INPSIRED BY PART OF YOUR OLD PROGRAM</w:t>
      </w:r>
    </w:p>
    <w:p w14:paraId="5A12DA8E" w14:textId="77B49E3E" w:rsidR="00464226" w:rsidRPr="00464226" w:rsidRDefault="003D2C3B" w:rsidP="00464226">
      <w:pPr>
        <w:pStyle w:val="berschrift1"/>
        <w:numPr>
          <w:ilvl w:val="0"/>
          <w:numId w:val="0"/>
        </w:numPr>
        <w:ind w:left="360"/>
      </w:pPr>
      <w:bookmarkStart w:id="5" w:name="_Toc78870199"/>
      <w:r w:rsidRPr="003D6548">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r w:rsidRPr="003D6548">
              <w:rPr>
                <w:i/>
                <w:iCs/>
              </w:rPr>
              <w:t>CMRW</w:t>
            </w:r>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r w:rsidRPr="003D6548">
              <w:t>FRÉ</w:t>
            </w:r>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r w:rsidRPr="003D6548">
              <w:t>FPA</w:t>
            </w:r>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10031927"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r w:rsidR="00C8589A">
        <w:t xml:space="preserve"> (Research Question ? ) </w:t>
      </w:r>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F903EB9" w14:textId="57E026DD" w:rsidR="004070DE" w:rsidRDefault="004070DE" w:rsidP="004070DE">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52194C48" w14:textId="77777777" w:rsidR="004070DE" w:rsidRPr="003D6548" w:rsidRDefault="004070DE" w:rsidP="007D32DC"/>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4F37F6"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4F37F6"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4F37F6"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4F37F6"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4F37F6"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4F37F6"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4F37F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4F37F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4F37F6"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4F37F6"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w:t>
      </w:r>
      <w:r>
        <w:lastRenderedPageBreak/>
        <w:t>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w:t>
      </w:r>
      <w:r w:rsidR="004E4893">
        <w:lastRenderedPageBreak/>
        <w:t>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8870226"/>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w:t>
      </w:r>
      <w:r w:rsidR="00142E80">
        <w:lastRenderedPageBreak/>
        <w:t xml:space="preserve">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t>Classification Sets</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6E40F0ED"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lastRenderedPageBreak/>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r w:rsidRPr="00FE75FC">
              <w:rPr>
                <w:rFonts w:ascii="Courier New" w:hAnsi="Courier New" w:cs="Courier New"/>
                <w:b w:val="0"/>
                <w:bCs w:val="0"/>
                <w:color w:val="008000"/>
                <w:sz w:val="20"/>
                <w:lang w:val="fr-FR" w:eastAsia="ja-JP"/>
              </w:rPr>
              <w:t>SEN_LEN</w:t>
            </w:r>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r w:rsidRPr="00D264C0">
              <w:rPr>
                <w:b w:val="0"/>
                <w:bCs w:val="0"/>
                <w:color w:val="008000"/>
              </w:rPr>
              <w:t>AVG_WORD_LEN</w:t>
            </w:r>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r w:rsidRPr="00D264C0">
              <w:rPr>
                <w:b w:val="0"/>
                <w:bCs w:val="0"/>
                <w:color w:val="008000"/>
              </w:rPr>
              <w:t>THIRD_PERSON_EXPL</w:t>
            </w:r>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Dummy</w:t>
            </w:r>
            <w:proofErr w:type="spellEnd"/>
            <w:r w:rsidRPr="00D264C0">
              <w:rPr>
                <w:rFonts w:ascii="Georgia" w:hAnsi="Georgia"/>
              </w:rPr>
              <w:t xml:space="preserve"> </w:t>
            </w:r>
            <w:proofErr w:type="spellStart"/>
            <w:r w:rsidRPr="00D264C0">
              <w:rPr>
                <w:rFonts w:ascii="Georgia" w:hAnsi="Georgia"/>
              </w:rPr>
              <w:t>Subjects</w:t>
            </w:r>
            <w:proofErr w:type="spellEnd"/>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r w:rsidRPr="00D264C0">
              <w:rPr>
                <w:b w:val="0"/>
                <w:bCs w:val="0"/>
                <w:color w:val="008000"/>
              </w:rPr>
              <w:t>NOM_SUBJ</w:t>
            </w:r>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Sentence </w:t>
            </w:r>
            <w:proofErr w:type="spellStart"/>
            <w:r w:rsidRPr="00D264C0">
              <w:rPr>
                <w:rFonts w:ascii="Georgia" w:hAnsi="Georgia"/>
              </w:rPr>
              <w:t>Length</w:t>
            </w:r>
            <w:proofErr w:type="spellEnd"/>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PRES_TENSE</w:t>
            </w:r>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ABBR_NO_VOWEL</w:t>
            </w:r>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NP_VB_RATIO</w:t>
            </w:r>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LOW_VERB_HIGH_ADJ</w:t>
            </w:r>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CCONJ_VB_RATIO</w:t>
            </w:r>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Coordinating </w:t>
            </w:r>
            <w:proofErr w:type="spellStart"/>
            <w:r>
              <w:rPr>
                <w:sz w:val="20"/>
              </w:rPr>
              <w:t>conjuct</w:t>
            </w:r>
            <w:proofErr w:type="spellEnd"/>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r w:rsidRPr="00D264C0">
              <w:rPr>
                <w:b w:val="0"/>
                <w:bCs w:val="0"/>
                <w:color w:val="008000"/>
              </w:rPr>
              <w:t>SHORT_SEN_LENGTH_PRESENCE_OF_NUMBERS</w:t>
            </w:r>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29CE8171" w14:textId="77777777" w:rsidR="003D088A" w:rsidRDefault="003D088A" w:rsidP="003D088A">
      <w:pPr>
        <w:ind w:firstLine="0"/>
      </w:pPr>
    </w:p>
    <w:p w14:paraId="259A6F8A" w14:textId="1FDBEDF5" w:rsidR="002D3EF2" w:rsidRDefault="00071B6A" w:rsidP="003D088A">
      <w:pPr>
        <w:ind w:left="1416" w:firstLine="708"/>
      </w:pPr>
      <w:r>
        <w:t xml:space="preserve">Classification </w:t>
      </w:r>
      <w:r w:rsidR="00854672">
        <w:t>for Literacy</w:t>
      </w:r>
    </w:p>
    <w:tbl>
      <w:tblPr>
        <w:tblStyle w:val="Gitternetztabelle7farbig"/>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77777777"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r w:rsidRPr="00FE75FC">
              <w:rPr>
                <w:rFonts w:ascii="Courier New" w:hAnsi="Courier New" w:cs="Courier New"/>
                <w:b w:val="0"/>
                <w:bCs w:val="0"/>
                <w:color w:val="008000"/>
                <w:sz w:val="20"/>
                <w:lang w:val="fr-FR" w:eastAsia="ja-JP"/>
              </w:rPr>
              <w:t>SEN_LEN</w:t>
            </w:r>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AVG_WORD_LEN</w:t>
            </w:r>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r>
              <w:rPr>
                <w:b w:val="0"/>
                <w:bCs w:val="0"/>
                <w:color w:val="008000"/>
              </w:rPr>
              <w:t>VERB_SEN_LEN_RATIO</w:t>
            </w:r>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Short sentences </w:t>
            </w:r>
            <w:proofErr w:type="gramStart"/>
            <w:r>
              <w:rPr>
                <w:rFonts w:ascii="Georgia" w:hAnsi="Georgia"/>
              </w:rPr>
              <w:t xml:space="preserve">without  </w:t>
            </w:r>
            <w:proofErr w:type="spellStart"/>
            <w:r>
              <w:rPr>
                <w:rFonts w:ascii="Georgia" w:hAnsi="Georgia"/>
              </w:rPr>
              <w:t>verbs</w:t>
            </w:r>
            <w:proofErr w:type="spellEnd"/>
            <w:proofErr w:type="gramEnd"/>
            <w:r>
              <w:rPr>
                <w:rFonts w:ascii="Georgia" w:hAnsi="Georgia"/>
              </w:rPr>
              <w:t xml:space="preserve">, high </w:t>
            </w:r>
            <w:proofErr w:type="spellStart"/>
            <w:r>
              <w:rPr>
                <w:rFonts w:ascii="Georgia" w:hAnsi="Georgia"/>
              </w:rPr>
              <w:t>number</w:t>
            </w:r>
            <w:proofErr w:type="spellEnd"/>
            <w:r>
              <w:rPr>
                <w:rFonts w:ascii="Georgia" w:hAnsi="Georgia"/>
              </w:rPr>
              <w:t xml:space="preserve"> of </w:t>
            </w:r>
            <w:proofErr w:type="spellStart"/>
            <w:r>
              <w:rPr>
                <w:rFonts w:ascii="Georgia" w:hAnsi="Georgia"/>
              </w:rPr>
              <w:t>pronouns</w:t>
            </w:r>
            <w:proofErr w:type="spellEnd"/>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r>
              <w:rPr>
                <w:b w:val="0"/>
                <w:bCs w:val="0"/>
                <w:color w:val="008000"/>
              </w:rPr>
              <w:t>WORD_REDUPLICATION</w:t>
            </w:r>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w:t>
            </w:r>
            <w:proofErr w:type="spellStart"/>
            <w:r>
              <w:rPr>
                <w:rFonts w:ascii="Georgia" w:hAnsi="Georgia"/>
              </w:rPr>
              <w:t>verb</w:t>
            </w:r>
            <w:proofErr w:type="spellEnd"/>
            <w:r>
              <w:rPr>
                <w:rFonts w:ascii="Georgia" w:hAnsi="Georgia"/>
              </w:rPr>
              <w:t xml:space="preserve"> more </w:t>
            </w:r>
            <w:proofErr w:type="spellStart"/>
            <w:r>
              <w:rPr>
                <w:rFonts w:ascii="Georgia" w:hAnsi="Georgia"/>
              </w:rPr>
              <w:t>than</w:t>
            </w:r>
            <w:proofErr w:type="spellEnd"/>
            <w:r>
              <w:rPr>
                <w:rFonts w:ascii="Georgia" w:hAnsi="Georgia"/>
              </w:rPr>
              <w:t xml:space="preserve">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PRES_TENSE</w:t>
            </w:r>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r>
              <w:rPr>
                <w:b w:val="0"/>
                <w:bCs w:val="0"/>
                <w:color w:val="008000"/>
              </w:rPr>
              <w:t>HIGH_PUNCTION</w:t>
            </w:r>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r>
              <w:rPr>
                <w:b w:val="0"/>
                <w:bCs w:val="0"/>
                <w:color w:val="008000"/>
              </w:rPr>
              <w:t>MULTI_CHAR_REDUPLICATION</w:t>
            </w:r>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r>
              <w:rPr>
                <w:b w:val="0"/>
                <w:bCs w:val="0"/>
                <w:color w:val="008000"/>
              </w:rPr>
              <w:t>WORD_WORD_REDUPLICATION</w:t>
            </w:r>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r>
              <w:rPr>
                <w:b w:val="0"/>
                <w:bCs w:val="0"/>
                <w:color w:val="008000"/>
              </w:rPr>
              <w:t>ALL_CAPS</w:t>
            </w:r>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r>
              <w:rPr>
                <w:b w:val="0"/>
                <w:bCs w:val="0"/>
                <w:color w:val="008000"/>
              </w:rPr>
              <w:t>ISOLATED_VERBS</w:t>
            </w:r>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r>
              <w:rPr>
                <w:b w:val="0"/>
                <w:bCs w:val="0"/>
                <w:color w:val="008000"/>
              </w:rPr>
              <w:lastRenderedPageBreak/>
              <w:t>EMOTIOCONS</w:t>
            </w:r>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1842F4F2" w:rsidR="0010280F" w:rsidRDefault="0010280F" w:rsidP="009D1605">
            <w:pPr>
              <w:pStyle w:val="HTMLVorformatiert"/>
              <w:shd w:val="clear" w:color="auto" w:fill="FFFFFF"/>
              <w:rPr>
                <w:b w:val="0"/>
                <w:bCs w:val="0"/>
                <w:color w:val="008000"/>
              </w:rPr>
            </w:pPr>
            <w:proofErr w:type="spellStart"/>
            <w:r>
              <w:rPr>
                <w:b w:val="0"/>
                <w:bCs w:val="0"/>
                <w:color w:val="008000"/>
              </w:rPr>
              <w:t>ABBr</w:t>
            </w:r>
            <w:proofErr w:type="spellEnd"/>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77113002" w14:textId="5DBFA585" w:rsidR="00A22184" w:rsidRDefault="00941974" w:rsidP="00D05FC2">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1C3DC8AB" w14:textId="77777777" w:rsidR="00D05FC2" w:rsidRPr="00CB0457" w:rsidRDefault="00D05FC2" w:rsidP="00D05FC2"/>
    <w:p w14:paraId="7C15F8BE" w14:textId="2BD9FD20" w:rsidR="00A22184" w:rsidRPr="00A22184" w:rsidRDefault="00E745B7" w:rsidP="00D05FC2">
      <w:pPr>
        <w:pStyle w:val="berschrift2"/>
      </w:pPr>
      <w:r>
        <w:t>Naïve Bayes</w:t>
      </w:r>
    </w:p>
    <w:tbl>
      <w:tblPr>
        <w:tblStyle w:val="Gitternetztabelle7farbig"/>
        <w:tblW w:w="0" w:type="auto"/>
        <w:tblLook w:val="04A0" w:firstRow="1" w:lastRow="0" w:firstColumn="1" w:lastColumn="0" w:noHBand="0" w:noVBand="1"/>
      </w:tblPr>
      <w:tblGrid>
        <w:gridCol w:w="2122"/>
        <w:gridCol w:w="2409"/>
      </w:tblGrid>
      <w:tr w:rsidR="00A22184" w14:paraId="05BF7DF7" w14:textId="4540AA96" w:rsidTr="000C5E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52872041" w:rsidR="00A22184" w:rsidRDefault="00A22184" w:rsidP="00272F4A">
            <w:pPr>
              <w:ind w:firstLine="0"/>
              <w:cnfStyle w:val="100000000000" w:firstRow="1" w:lastRow="0" w:firstColumn="0" w:lastColumn="0" w:oddVBand="0" w:evenVBand="0" w:oddHBand="0" w:evenHBand="0" w:firstRowFirstColumn="0" w:firstRowLastColumn="0" w:lastRowFirstColumn="0" w:lastRowLastColumn="0"/>
            </w:pPr>
            <w:r>
              <w:t>Hand-Annotated</w:t>
            </w:r>
          </w:p>
        </w:tc>
      </w:tr>
      <w:tr w:rsidR="00A22184" w14:paraId="60C4A3AD" w14:textId="2655C795"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5C75C6CF" w14:textId="12B298E3"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295AEC0B" w14:textId="59B96E40"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04F8786D" w14:textId="31AB1073"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6FBA6EB6" w14:textId="2749C4D2"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439E24AD" w14:textId="16E86954"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62B59334" w:rsidR="00272F4A" w:rsidRDefault="00272F4A" w:rsidP="00272F4A"/>
    <w:p w14:paraId="6ADD1624" w14:textId="3EA764A1" w:rsidR="000C5EDC" w:rsidRDefault="000C5EDC" w:rsidP="00272F4A"/>
    <w:p w14:paraId="36CC5093" w14:textId="6789C952" w:rsidR="000C5EDC" w:rsidRDefault="000C5EDC" w:rsidP="00272F4A"/>
    <w:p w14:paraId="2BFD4A59" w14:textId="77777777" w:rsidR="000C5EDC" w:rsidRDefault="000C5EDC" w:rsidP="00272F4A"/>
    <w:p w14:paraId="6C6ADB9F" w14:textId="77777777" w:rsidR="0082533A" w:rsidRDefault="00F9217A" w:rsidP="00F9217A">
      <w:pPr>
        <w:pStyle w:val="berschrift2"/>
      </w:pPr>
      <w:bookmarkStart w:id="55" w:name="_Toc78870230"/>
      <w:bookmarkStart w:id="56" w:name="_Toc75713093"/>
      <w:r>
        <w:t>Sentence Tokenizer</w:t>
      </w:r>
      <w:bookmarkEnd w:id="55"/>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w:t>
      </w:r>
      <w:r>
        <w:lastRenderedPageBreak/>
        <w:t xml:space="preserve">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2BF21E3" w:rsidR="006B188A" w:rsidRPr="00B067C6"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w:t>
      </w:r>
      <w:r>
        <w:lastRenderedPageBreak/>
        <w:t xml:space="preserve">decision was made to use this bullet points as sentence markers. It should be  noted that the definition of sentence is being somewhat expanded to encompass such thought. </w:t>
      </w:r>
      <w:bookmarkEnd w:id="56"/>
    </w:p>
    <w:p w14:paraId="3AD38932" w14:textId="08095526" w:rsidR="008B7064" w:rsidRDefault="00667E4C" w:rsidP="006B188A">
      <w:pPr>
        <w:pStyle w:val="berschrift1"/>
      </w:pPr>
      <w:r>
        <w:t>Results</w:t>
      </w:r>
    </w:p>
    <w:p w14:paraId="3459B1B2" w14:textId="77777777" w:rsidR="00DE2CF7" w:rsidRDefault="00DE2CF7" w:rsidP="005D742F"/>
    <w:p w14:paraId="33D57770" w14:textId="333BCF97" w:rsidR="00DE2CF7" w:rsidRDefault="00DE2CF7" w:rsidP="005D742F">
      <w:r>
        <w:t xml:space="preserve">Development and Training </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57" w:name="_Toc75691439"/>
      <w:bookmarkStart w:id="58"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lastRenderedPageBreak/>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71E8DA37" w14:textId="50C651B0" w:rsidR="00142B0D" w:rsidRDefault="00142B0D" w:rsidP="00142B0D">
      <w:pPr>
        <w:ind w:firstLine="0"/>
      </w:pPr>
      <w:r>
        <w:tab/>
        <w:t xml:space="preserve">Using Wiki and SMS as training data, data was labeled either literal or oral according to the classification sets mentioned above.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067C6" w14:paraId="04A9F420" w14:textId="77777777" w:rsidTr="00B06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C9F03C1" w14:textId="77777777" w:rsidR="00B067C6" w:rsidRDefault="00B067C6" w:rsidP="00B067C6">
            <w:pPr>
              <w:ind w:firstLine="0"/>
            </w:pPr>
          </w:p>
        </w:tc>
        <w:tc>
          <w:tcPr>
            <w:tcW w:w="1513" w:type="dxa"/>
          </w:tcPr>
          <w:p w14:paraId="4B5FBA56"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327C4A1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653212F7"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4D0E6EB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3DB9316D"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ORAL</w:t>
            </w:r>
          </w:p>
        </w:tc>
      </w:tr>
      <w:tr w:rsidR="00B067C6" w14:paraId="7E156745"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0C99634E" w14:textId="77777777" w:rsidR="00B067C6" w:rsidRDefault="00B067C6" w:rsidP="00B067C6">
            <w:pPr>
              <w:ind w:firstLine="0"/>
            </w:pPr>
            <w:r>
              <w:t>Wiki</w:t>
            </w:r>
          </w:p>
        </w:tc>
        <w:tc>
          <w:tcPr>
            <w:tcW w:w="1513" w:type="dxa"/>
          </w:tcPr>
          <w:p w14:paraId="73836E97"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6766</w:t>
            </w:r>
          </w:p>
        </w:tc>
        <w:tc>
          <w:tcPr>
            <w:tcW w:w="1725" w:type="dxa"/>
          </w:tcPr>
          <w:p w14:paraId="14368D18"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345</w:t>
            </w:r>
          </w:p>
        </w:tc>
        <w:tc>
          <w:tcPr>
            <w:tcW w:w="1823" w:type="dxa"/>
          </w:tcPr>
          <w:p w14:paraId="0BCF9D7A"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6D8F6E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110</w:t>
            </w:r>
          </w:p>
        </w:tc>
        <w:tc>
          <w:tcPr>
            <w:tcW w:w="978" w:type="dxa"/>
          </w:tcPr>
          <w:p w14:paraId="3C860FB5"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234</w:t>
            </w:r>
          </w:p>
        </w:tc>
      </w:tr>
      <w:tr w:rsidR="00B067C6" w14:paraId="69424B3D"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1627BE13" w14:textId="77777777" w:rsidR="00B067C6" w:rsidRDefault="00B067C6" w:rsidP="00B067C6">
            <w:pPr>
              <w:ind w:firstLine="0"/>
            </w:pPr>
            <w:r>
              <w:t>SMS</w:t>
            </w:r>
          </w:p>
        </w:tc>
        <w:tc>
          <w:tcPr>
            <w:tcW w:w="1513" w:type="dxa"/>
          </w:tcPr>
          <w:p w14:paraId="0DB3AA0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3445</w:t>
            </w:r>
          </w:p>
        </w:tc>
        <w:tc>
          <w:tcPr>
            <w:tcW w:w="1725" w:type="dxa"/>
          </w:tcPr>
          <w:p w14:paraId="408FBC0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349</w:t>
            </w:r>
          </w:p>
        </w:tc>
        <w:tc>
          <w:tcPr>
            <w:tcW w:w="1823" w:type="dxa"/>
          </w:tcPr>
          <w:p w14:paraId="652DCD7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150</w:t>
            </w:r>
          </w:p>
        </w:tc>
        <w:tc>
          <w:tcPr>
            <w:tcW w:w="1126" w:type="dxa"/>
          </w:tcPr>
          <w:p w14:paraId="2930DF92"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52FDAF7E"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4E255364" w:rsidR="00B067C6" w:rsidRDefault="00142B0D" w:rsidP="00B067C6">
      <w:pPr>
        <w:ind w:firstLine="0"/>
      </w:pPr>
      <w:r>
        <w:tab/>
      </w:r>
      <w:r>
        <w:tab/>
      </w:r>
      <w:r>
        <w:tab/>
      </w:r>
      <w:r w:rsidR="001C7B26">
        <w:tab/>
      </w:r>
      <w:r>
        <w:t>Training data results</w:t>
      </w:r>
      <w:r w:rsidR="00601E44">
        <w:t xml:space="preserve"> via the classification</w:t>
      </w:r>
      <w:r>
        <w:t xml:space="preserve"> </w:t>
      </w:r>
      <w:r w:rsidR="00C8589A">
        <w:t>(dev)</w:t>
      </w:r>
    </w:p>
    <w:p w14:paraId="2C461DA7" w14:textId="7B76772B" w:rsidR="001C7B26" w:rsidRDefault="00066C25" w:rsidP="00DE2CF7">
      <w:pPr>
        <w:ind w:firstLine="708"/>
      </w:pPr>
      <w:r>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0C17580B" w:rsidR="0053046B" w:rsidRDefault="00A37018" w:rsidP="00621492">
      <w:pPr>
        <w:ind w:firstLine="0"/>
      </w:pPr>
      <w:r>
        <w:tab/>
      </w:r>
      <w:r w:rsidR="00601E44">
        <w:tab/>
      </w:r>
      <w:r w:rsidR="00601E44">
        <w:tab/>
        <w:t xml:space="preserve">Training results with the naïve bayes </w:t>
      </w:r>
      <w:r w:rsidR="00C8589A">
        <w:t xml:space="preserve"> (dev)</w:t>
      </w:r>
    </w:p>
    <w:p w14:paraId="7E1252E9" w14:textId="2003BA18" w:rsidR="007E2A23" w:rsidRDefault="007E2A23" w:rsidP="00C8589A">
      <w:pPr>
        <w:ind w:firstLine="0"/>
      </w:pPr>
    </w:p>
    <w:p w14:paraId="1B06EFF6" w14:textId="637C09B3" w:rsidR="00A278D3" w:rsidRPr="005C083E" w:rsidRDefault="00C8589A" w:rsidP="00A278D3">
      <w:pPr>
        <w:ind w:firstLine="0"/>
      </w:pPr>
      <w:r>
        <w:t>After t</w:t>
      </w:r>
      <w:r w:rsidR="00A278D3">
        <w:t xml:space="preserve">he </w:t>
      </w:r>
      <w:r>
        <w:t>development phase</w:t>
      </w:r>
      <w:r w:rsidR="00DE2CF7">
        <w:t xml:space="preserve"> and with only slight modification to the data</w:t>
      </w:r>
      <w:r>
        <w:t>,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3996A671" w:rsidR="00DE2CF7" w:rsidRDefault="003C445E" w:rsidP="00A278D3">
      <w:pPr>
        <w:ind w:firstLine="0"/>
      </w:pPr>
      <w:r>
        <w:tab/>
      </w:r>
      <w:r>
        <w:tab/>
      </w:r>
      <w:r>
        <w:tab/>
        <w:t xml:space="preserve">Training data results via the classification </w:t>
      </w:r>
      <w:r w:rsidR="00C8589A">
        <w:t>(train)</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739658C5" w14:textId="037C256B" w:rsidR="00B748C6" w:rsidRDefault="00B748C6" w:rsidP="00B748C6">
      <w:pPr>
        <w:ind w:firstLine="0"/>
      </w:pPr>
      <w:r>
        <w:tab/>
      </w:r>
      <w:r>
        <w:tab/>
      </w:r>
      <w:r>
        <w:tab/>
        <w:t xml:space="preserve">Training results with the naïve bayes </w:t>
      </w:r>
      <w:r w:rsidR="00C8589A">
        <w:br/>
      </w:r>
      <w:r w:rsidR="00C8589A">
        <w:br/>
      </w:r>
      <w:r w:rsidR="00C8589A">
        <w:lastRenderedPageBreak/>
        <w:t>These results of which mirrored  those of the development phase to a certain degree.</w:t>
      </w:r>
      <w:r w:rsidR="00DE2CF7">
        <w:t xml:space="preserve"> </w:t>
      </w:r>
    </w:p>
    <w:p w14:paraId="4CB43B82" w14:textId="288D1143" w:rsidR="00DE2CF7" w:rsidRDefault="00DE2CF7" w:rsidP="00B748C6">
      <w:pPr>
        <w:ind w:firstLine="0"/>
      </w:pPr>
    </w:p>
    <w:p w14:paraId="46DC0D22" w14:textId="4C26DB74" w:rsidR="00DE2CF7" w:rsidRDefault="00DE2CF7" w:rsidP="00B748C6">
      <w:pPr>
        <w:ind w:firstLine="0"/>
      </w:pPr>
      <w:r>
        <w:t xml:space="preserve">In the final phase, the system was used to evaluate all  three </w:t>
      </w:r>
      <w:r w:rsidR="005646A3">
        <w:t xml:space="preserve">systems were </w:t>
      </w:r>
    </w:p>
    <w:p w14:paraId="112A0A17" w14:textId="6B90EBC0" w:rsidR="00DE2CF7" w:rsidRDefault="00DE2CF7"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proofErr w:type="spellStart"/>
            <w:r>
              <w:t>Ebay</w:t>
            </w:r>
            <w:proofErr w:type="spellEnd"/>
          </w:p>
        </w:tc>
        <w:tc>
          <w:tcPr>
            <w:tcW w:w="1513" w:type="dxa"/>
          </w:tcPr>
          <w:p w14:paraId="7CFD7192" w14:textId="7DA8DAC8"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77777777"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374A78C4"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7777777"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77777777"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768DD0F8" w:rsidR="00C8589A" w:rsidRDefault="00DE2CF7" w:rsidP="00B748C6">
      <w:pPr>
        <w:ind w:firstLine="0"/>
      </w:pPr>
      <w:r>
        <w:tab/>
      </w:r>
      <w:r>
        <w:tab/>
        <w:t xml:space="preserve">Results from the naïve bayes using the training corpus </w:t>
      </w:r>
    </w:p>
    <w:p w14:paraId="2785ECD7" w14:textId="57DBAC3A" w:rsidR="00C8589A" w:rsidRDefault="00C8589A" w:rsidP="00B748C6">
      <w:pPr>
        <w:ind w:firstLine="0"/>
      </w:pPr>
    </w:p>
    <w:p w14:paraId="216B08C9" w14:textId="77777777" w:rsidR="00C8589A" w:rsidRDefault="00C8589A" w:rsidP="00B748C6">
      <w:pPr>
        <w:ind w:firstLine="0"/>
      </w:pPr>
    </w:p>
    <w:p w14:paraId="40EE715E" w14:textId="167FFA25" w:rsidR="00C8589A" w:rsidRDefault="00C8589A" w:rsidP="00B748C6">
      <w:pPr>
        <w:ind w:firstLine="0"/>
      </w:pPr>
    </w:p>
    <w:p w14:paraId="46AC0C7F" w14:textId="77777777" w:rsidR="00C8589A" w:rsidRDefault="00C8589A" w:rsidP="00B748C6">
      <w:pPr>
        <w:ind w:firstLine="0"/>
      </w:pPr>
    </w:p>
    <w:p w14:paraId="1F00AAB1" w14:textId="78F2CFEA" w:rsidR="00C8589A" w:rsidRDefault="00B748C6" w:rsidP="00C8589A">
      <w:pPr>
        <w:ind w:left="1208" w:hanging="357"/>
      </w:pPr>
      <w:r>
        <w:br w:type="page"/>
      </w:r>
      <w:r w:rsidR="00C8589A">
        <w:lastRenderedPageBreak/>
        <w:br/>
      </w:r>
    </w:p>
    <w:p w14:paraId="1DF69CBD" w14:textId="18E7C28C" w:rsidR="00C8589A" w:rsidRDefault="00C8589A" w:rsidP="003C445E">
      <w:pPr>
        <w:ind w:left="1208" w:hanging="357"/>
      </w:pPr>
    </w:p>
    <w:p w14:paraId="0E1F3E11" w14:textId="77777777" w:rsidR="00C8589A" w:rsidRPr="003C445E" w:rsidRDefault="00C8589A" w:rsidP="003C445E">
      <w:pPr>
        <w:ind w:left="1208" w:hanging="357"/>
        <w:rPr>
          <w:rFonts w:eastAsia="Times" w:cs="Times"/>
          <w:szCs w:val="32"/>
        </w:rPr>
      </w:pPr>
    </w:p>
    <w:p w14:paraId="30A230F4" w14:textId="3BE3328C" w:rsidR="001939E0" w:rsidRDefault="00C8589A" w:rsidP="00DE2CF7">
      <w:pPr>
        <w:pStyle w:val="berschrift1"/>
      </w:pPr>
      <w:r>
        <w:t xml:space="preserve">Discussion </w:t>
      </w:r>
    </w:p>
    <w:tbl>
      <w:tblPr>
        <w:tblStyle w:val="Tabellenraster"/>
        <w:tblW w:w="0" w:type="auto"/>
        <w:tblLook w:val="04A0" w:firstRow="1" w:lastRow="0" w:firstColumn="1" w:lastColumn="0" w:noHBand="0" w:noVBand="1"/>
      </w:tblPr>
      <w:tblGrid>
        <w:gridCol w:w="1370"/>
        <w:gridCol w:w="1453"/>
        <w:gridCol w:w="1554"/>
        <w:gridCol w:w="1606"/>
        <w:gridCol w:w="1321"/>
        <w:gridCol w:w="1190"/>
      </w:tblGrid>
      <w:tr w:rsidR="001939E0" w14:paraId="19D16D5C" w14:textId="2BCD33CB" w:rsidTr="001939E0">
        <w:tc>
          <w:tcPr>
            <w:tcW w:w="1370" w:type="dxa"/>
          </w:tcPr>
          <w:p w14:paraId="466A16B5" w14:textId="77777777" w:rsidR="001939E0" w:rsidRDefault="001939E0" w:rsidP="001939E0">
            <w:pPr>
              <w:ind w:firstLine="0"/>
            </w:pPr>
          </w:p>
        </w:tc>
        <w:tc>
          <w:tcPr>
            <w:tcW w:w="1453" w:type="dxa"/>
          </w:tcPr>
          <w:p w14:paraId="6EF5EC34" w14:textId="7962F631" w:rsidR="001939E0" w:rsidRDefault="001939E0" w:rsidP="001939E0">
            <w:pPr>
              <w:ind w:firstLine="0"/>
            </w:pPr>
            <w:r>
              <w:t>Tokens</w:t>
            </w:r>
          </w:p>
        </w:tc>
        <w:tc>
          <w:tcPr>
            <w:tcW w:w="1554" w:type="dxa"/>
          </w:tcPr>
          <w:p w14:paraId="6B73678C" w14:textId="648BBB3F" w:rsidR="001939E0" w:rsidRDefault="001939E0" w:rsidP="001939E0">
            <w:pPr>
              <w:ind w:firstLine="0"/>
            </w:pPr>
            <w:r>
              <w:t>Sentences</w:t>
            </w:r>
          </w:p>
        </w:tc>
        <w:tc>
          <w:tcPr>
            <w:tcW w:w="1606" w:type="dxa"/>
          </w:tcPr>
          <w:p w14:paraId="45584BFD" w14:textId="5F9B4D0E" w:rsidR="001939E0" w:rsidRDefault="001939E0" w:rsidP="001939E0">
            <w:pPr>
              <w:ind w:firstLine="0"/>
            </w:pPr>
            <w:r>
              <w:t>Documents</w:t>
            </w:r>
          </w:p>
        </w:tc>
        <w:tc>
          <w:tcPr>
            <w:tcW w:w="1321" w:type="dxa"/>
          </w:tcPr>
          <w:p w14:paraId="6767F290" w14:textId="63E804E0" w:rsidR="001939E0" w:rsidRDefault="001939E0" w:rsidP="001939E0">
            <w:pPr>
              <w:ind w:firstLine="0"/>
            </w:pPr>
            <w:r>
              <w:t>LIT</w:t>
            </w:r>
          </w:p>
        </w:tc>
        <w:tc>
          <w:tcPr>
            <w:tcW w:w="1190" w:type="dxa"/>
          </w:tcPr>
          <w:p w14:paraId="7A48C70A" w14:textId="7EA767DC" w:rsidR="001939E0" w:rsidRDefault="001939E0" w:rsidP="001939E0">
            <w:pPr>
              <w:ind w:firstLine="0"/>
            </w:pPr>
            <w:r>
              <w:t>ORAL</w:t>
            </w:r>
          </w:p>
        </w:tc>
      </w:tr>
      <w:tr w:rsidR="001939E0" w14:paraId="3917BFC5" w14:textId="5508B1BC" w:rsidTr="001939E0">
        <w:tc>
          <w:tcPr>
            <w:tcW w:w="1370" w:type="dxa"/>
          </w:tcPr>
          <w:p w14:paraId="125D1D3E" w14:textId="2695F255" w:rsidR="001939E0" w:rsidRDefault="001939E0" w:rsidP="00621492">
            <w:pPr>
              <w:ind w:firstLine="0"/>
            </w:pPr>
            <w:proofErr w:type="spellStart"/>
            <w:r>
              <w:t>Ebay</w:t>
            </w:r>
            <w:proofErr w:type="spellEnd"/>
          </w:p>
        </w:tc>
        <w:tc>
          <w:tcPr>
            <w:tcW w:w="1453" w:type="dxa"/>
          </w:tcPr>
          <w:p w14:paraId="19379D8E" w14:textId="77777777" w:rsidR="001939E0" w:rsidRDefault="001939E0" w:rsidP="00621492">
            <w:pPr>
              <w:ind w:firstLine="0"/>
            </w:pPr>
          </w:p>
        </w:tc>
        <w:tc>
          <w:tcPr>
            <w:tcW w:w="1554" w:type="dxa"/>
          </w:tcPr>
          <w:p w14:paraId="05A415C0" w14:textId="77777777" w:rsidR="001939E0" w:rsidRDefault="001939E0" w:rsidP="00621492">
            <w:pPr>
              <w:ind w:firstLine="0"/>
            </w:pPr>
          </w:p>
        </w:tc>
        <w:tc>
          <w:tcPr>
            <w:tcW w:w="1606" w:type="dxa"/>
          </w:tcPr>
          <w:p w14:paraId="02E30CF8" w14:textId="77777777" w:rsidR="001939E0" w:rsidRDefault="001939E0" w:rsidP="00621492">
            <w:pPr>
              <w:ind w:firstLine="0"/>
            </w:pPr>
          </w:p>
        </w:tc>
        <w:tc>
          <w:tcPr>
            <w:tcW w:w="1321" w:type="dxa"/>
          </w:tcPr>
          <w:p w14:paraId="5B752BA2" w14:textId="77777777" w:rsidR="001939E0" w:rsidRDefault="001939E0" w:rsidP="00621492">
            <w:pPr>
              <w:ind w:firstLine="0"/>
            </w:pPr>
          </w:p>
        </w:tc>
        <w:tc>
          <w:tcPr>
            <w:tcW w:w="1190" w:type="dxa"/>
          </w:tcPr>
          <w:p w14:paraId="499750BD" w14:textId="77777777" w:rsidR="001939E0" w:rsidRDefault="001939E0" w:rsidP="00621492">
            <w:pPr>
              <w:ind w:firstLine="0"/>
            </w:pPr>
          </w:p>
        </w:tc>
      </w:tr>
      <w:tr w:rsidR="001939E0" w14:paraId="7B908CF6" w14:textId="4D013B86" w:rsidTr="001939E0">
        <w:tc>
          <w:tcPr>
            <w:tcW w:w="1370" w:type="dxa"/>
          </w:tcPr>
          <w:p w14:paraId="5F24B1D8" w14:textId="54A152C0" w:rsidR="001939E0" w:rsidRDefault="001939E0" w:rsidP="00621492">
            <w:pPr>
              <w:ind w:firstLine="0"/>
            </w:pPr>
            <w:r>
              <w:t>SMS</w:t>
            </w:r>
          </w:p>
        </w:tc>
        <w:tc>
          <w:tcPr>
            <w:tcW w:w="1453" w:type="dxa"/>
          </w:tcPr>
          <w:p w14:paraId="1DC79E09" w14:textId="77777777" w:rsidR="001939E0" w:rsidRDefault="001939E0" w:rsidP="00621492">
            <w:pPr>
              <w:ind w:firstLine="0"/>
            </w:pPr>
          </w:p>
        </w:tc>
        <w:tc>
          <w:tcPr>
            <w:tcW w:w="1554" w:type="dxa"/>
          </w:tcPr>
          <w:p w14:paraId="0E068EB2" w14:textId="77777777" w:rsidR="001939E0" w:rsidRDefault="001939E0" w:rsidP="00621492">
            <w:pPr>
              <w:ind w:firstLine="0"/>
            </w:pPr>
          </w:p>
        </w:tc>
        <w:tc>
          <w:tcPr>
            <w:tcW w:w="1606" w:type="dxa"/>
          </w:tcPr>
          <w:p w14:paraId="2C9D0AD2" w14:textId="77777777" w:rsidR="001939E0" w:rsidRDefault="001939E0" w:rsidP="00621492">
            <w:pPr>
              <w:ind w:firstLine="0"/>
            </w:pPr>
          </w:p>
        </w:tc>
        <w:tc>
          <w:tcPr>
            <w:tcW w:w="1321" w:type="dxa"/>
          </w:tcPr>
          <w:p w14:paraId="1FB4F10F" w14:textId="77777777" w:rsidR="001939E0" w:rsidRDefault="001939E0" w:rsidP="00621492">
            <w:pPr>
              <w:ind w:firstLine="0"/>
            </w:pPr>
          </w:p>
        </w:tc>
        <w:tc>
          <w:tcPr>
            <w:tcW w:w="1190" w:type="dxa"/>
          </w:tcPr>
          <w:p w14:paraId="43556DDA" w14:textId="77777777" w:rsidR="001939E0" w:rsidRDefault="001939E0" w:rsidP="00621492">
            <w:pPr>
              <w:ind w:firstLine="0"/>
            </w:pPr>
          </w:p>
        </w:tc>
      </w:tr>
      <w:tr w:rsidR="001939E0" w14:paraId="226DC136" w14:textId="3F642CCC" w:rsidTr="001939E0">
        <w:tc>
          <w:tcPr>
            <w:tcW w:w="1370" w:type="dxa"/>
          </w:tcPr>
          <w:p w14:paraId="737CA244" w14:textId="2CA89A3E" w:rsidR="001939E0" w:rsidRDefault="001939E0" w:rsidP="00621492">
            <w:pPr>
              <w:ind w:firstLine="0"/>
            </w:pPr>
            <w:r>
              <w:t>Wiki</w:t>
            </w:r>
          </w:p>
        </w:tc>
        <w:tc>
          <w:tcPr>
            <w:tcW w:w="1453" w:type="dxa"/>
          </w:tcPr>
          <w:p w14:paraId="0F69EFEF" w14:textId="77777777" w:rsidR="001939E0" w:rsidRDefault="001939E0" w:rsidP="00621492">
            <w:pPr>
              <w:ind w:firstLine="0"/>
            </w:pPr>
          </w:p>
        </w:tc>
        <w:tc>
          <w:tcPr>
            <w:tcW w:w="1554" w:type="dxa"/>
          </w:tcPr>
          <w:p w14:paraId="6E266695" w14:textId="77777777" w:rsidR="001939E0" w:rsidRDefault="001939E0" w:rsidP="00621492">
            <w:pPr>
              <w:ind w:firstLine="0"/>
            </w:pPr>
          </w:p>
        </w:tc>
        <w:tc>
          <w:tcPr>
            <w:tcW w:w="1606" w:type="dxa"/>
          </w:tcPr>
          <w:p w14:paraId="523A5C43" w14:textId="77777777" w:rsidR="001939E0" w:rsidRDefault="001939E0" w:rsidP="00621492">
            <w:pPr>
              <w:ind w:firstLine="0"/>
            </w:pPr>
          </w:p>
        </w:tc>
        <w:tc>
          <w:tcPr>
            <w:tcW w:w="1321" w:type="dxa"/>
          </w:tcPr>
          <w:p w14:paraId="23F2532E" w14:textId="77777777" w:rsidR="001939E0" w:rsidRDefault="001939E0" w:rsidP="00621492">
            <w:pPr>
              <w:ind w:firstLine="0"/>
            </w:pPr>
          </w:p>
        </w:tc>
        <w:tc>
          <w:tcPr>
            <w:tcW w:w="1190" w:type="dxa"/>
          </w:tcPr>
          <w:p w14:paraId="01175778" w14:textId="77777777" w:rsidR="001939E0" w:rsidRDefault="001939E0" w:rsidP="00621492">
            <w:pPr>
              <w:ind w:firstLine="0"/>
            </w:pPr>
          </w:p>
        </w:tc>
      </w:tr>
    </w:tbl>
    <w:p w14:paraId="0BD91D6A" w14:textId="77777777" w:rsidR="001939E0" w:rsidRDefault="001939E0" w:rsidP="00621492">
      <w:pPr>
        <w:ind w:firstLine="0"/>
      </w:pPr>
    </w:p>
    <w:p w14:paraId="24662E8D" w14:textId="0D05E8A2" w:rsidR="00A37018" w:rsidRDefault="001939E0" w:rsidP="00621492">
      <w:pPr>
        <w:ind w:firstLine="0"/>
      </w:pPr>
      <w:r>
        <w:tab/>
      </w:r>
      <w:r>
        <w:tab/>
        <w:t xml:space="preserve">Naïve Bayes Results </w:t>
      </w:r>
    </w:p>
    <w:p w14:paraId="77E88957" w14:textId="1098D11F" w:rsidR="00A37018" w:rsidRDefault="00A37018" w:rsidP="00621492">
      <w:pPr>
        <w:ind w:firstLine="0"/>
      </w:pPr>
      <w:r>
        <w:tab/>
      </w:r>
    </w:p>
    <w:p w14:paraId="4FFB5140" w14:textId="1993D8BC" w:rsidR="00142B0D" w:rsidRDefault="00A37018" w:rsidP="00621492">
      <w:pPr>
        <w:ind w:firstLine="0"/>
      </w:pPr>
      <w:r>
        <w:tab/>
      </w:r>
    </w:p>
    <w:p w14:paraId="5D15971A" w14:textId="469BECC1" w:rsidR="00066C25" w:rsidRDefault="00066C25" w:rsidP="00D1028F">
      <w:pPr>
        <w:ind w:firstLine="0"/>
      </w:pPr>
    </w:p>
    <w:p w14:paraId="66D6786F" w14:textId="4CD72FBD" w:rsidR="00621492" w:rsidRDefault="00621492" w:rsidP="00D1028F">
      <w:pPr>
        <w:ind w:firstLine="0"/>
      </w:pPr>
    </w:p>
    <w:p w14:paraId="1616EDD8" w14:textId="77777777" w:rsidR="00C8589A" w:rsidRDefault="00C8589A" w:rsidP="00C8589A">
      <w:pPr>
        <w:ind w:firstLine="708"/>
      </w:pPr>
      <w:r>
        <w:t xml:space="preserve">Using this data, the naïve bayes was trained so that it could recognize sentences that it had not seen before. More documents were classified as literal than expected. This was due to the criteria seeing more of the data as being literal than oral and was thus transferred over to the naïve bayes.  Even taking this into account, eBay chat data is more along the lines of being literal. </w:t>
      </w:r>
    </w:p>
    <w:p w14:paraId="764F3156" w14:textId="77777777" w:rsidR="00621492" w:rsidRDefault="00621492" w:rsidP="00D1028F">
      <w:pPr>
        <w:ind w:firstLine="0"/>
      </w:pPr>
    </w:p>
    <w:p w14:paraId="1BB95940" w14:textId="77777777" w:rsidR="005D742F" w:rsidRDefault="005D742F" w:rsidP="00D1028F">
      <w:pPr>
        <w:ind w:firstLine="0"/>
      </w:pP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7"/>
    <w:bookmarkEnd w:id="58"/>
    <w:p w14:paraId="506462C3" w14:textId="362DAD94" w:rsidR="00E03C0F" w:rsidRDefault="00E03C0F" w:rsidP="00E03C0F">
      <w:pPr>
        <w:ind w:firstLine="0"/>
      </w:pPr>
    </w:p>
    <w:p w14:paraId="78E4BACB" w14:textId="09B57709" w:rsidR="00FB13EF" w:rsidRPr="006B188A" w:rsidRDefault="0034488C" w:rsidP="006B188A">
      <w:pPr>
        <w:ind w:left="1208" w:hanging="357"/>
      </w:pPr>
      <w:r>
        <w:br w:type="page"/>
      </w:r>
    </w:p>
    <w:p w14:paraId="68BB8720" w14:textId="5EC34F1F" w:rsidR="00634F03" w:rsidRDefault="00634F03" w:rsidP="00B85DF0">
      <w:pPr>
        <w:pStyle w:val="berschrift1"/>
      </w:pPr>
      <w:bookmarkStart w:id="59" w:name="_Toc75691440"/>
      <w:bookmarkStart w:id="60" w:name="_Toc75691586"/>
      <w:bookmarkStart w:id="61" w:name="_Toc78870237"/>
      <w:r>
        <w:lastRenderedPageBreak/>
        <w:t>Discussion</w:t>
      </w:r>
    </w:p>
    <w:p w14:paraId="20C1108E" w14:textId="29A4CA3D" w:rsidR="00634F03" w:rsidRPr="00634F03" w:rsidRDefault="00634F03" w:rsidP="00634F03">
      <w:pPr>
        <w:ind w:left="1208" w:hanging="357"/>
      </w:pPr>
      <w:r>
        <w:br w:type="page"/>
      </w:r>
    </w:p>
    <w:p w14:paraId="65A0390B" w14:textId="415804C3" w:rsidR="003D2C3B" w:rsidRPr="003D6548" w:rsidRDefault="003D2C3B" w:rsidP="00B85DF0">
      <w:pPr>
        <w:pStyle w:val="berschrift1"/>
      </w:pPr>
      <w:r w:rsidRPr="003D6548">
        <w:lastRenderedPageBreak/>
        <w:t>Conclusion</w:t>
      </w:r>
      <w:bookmarkEnd w:id="59"/>
      <w:bookmarkEnd w:id="60"/>
      <w:bookmarkEnd w:id="61"/>
    </w:p>
    <w:p w14:paraId="6207C493" w14:textId="7772A45F" w:rsidR="00740321" w:rsidRDefault="00740321">
      <w:pPr>
        <w:ind w:left="1208" w:hanging="357"/>
        <w:rPr>
          <w:rFonts w:eastAsia="Times" w:cs="Times"/>
          <w:b/>
          <w:szCs w:val="40"/>
        </w:rPr>
      </w:pPr>
      <w:bookmarkStart w:id="62" w:name="_Toc75691441"/>
      <w:bookmarkStart w:id="63"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4" w:name="_Toc78870238"/>
      <w:r w:rsidRPr="003D6548">
        <w:t>References</w:t>
      </w:r>
      <w:bookmarkEnd w:id="62"/>
      <w:bookmarkEnd w:id="63"/>
      <w:bookmarkEnd w:id="6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5" w:name="_Toc75691442"/>
      <w:bookmarkStart w:id="66" w:name="_Toc75691588"/>
      <w:bookmarkStart w:id="67" w:name="_Toc78870239"/>
      <w:r w:rsidRPr="003D6548">
        <w:rPr>
          <w:szCs w:val="24"/>
        </w:rPr>
        <w:t>Eigenständigkeitserklärung</w:t>
      </w:r>
      <w:bookmarkEnd w:id="65"/>
      <w:bookmarkEnd w:id="66"/>
      <w:bookmarkEnd w:id="6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68" w:name="_Toc78870240"/>
      <w:r>
        <w:rPr>
          <w:b w:val="0"/>
        </w:rPr>
        <w:t>Appendix</w:t>
      </w:r>
      <w:bookmarkEnd w:id="6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69" w:name="_Toc75713102"/>
      <w:r w:rsidRPr="00554832">
        <w:t>Oral</w:t>
      </w:r>
      <w:bookmarkEnd w:id="69"/>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r w:rsidRPr="00554832">
        <w:rPr>
          <w:b/>
        </w:rPr>
        <w:t>88SMS</w:t>
      </w:r>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0" w:name="_Toc75713103"/>
      <w:r w:rsidRPr="00554832">
        <w:t>Literate</w:t>
      </w:r>
      <w:bookmarkEnd w:id="70"/>
    </w:p>
    <w:p w14:paraId="044E03AE" w14:textId="77777777" w:rsidR="00A200C8" w:rsidRPr="00554832" w:rsidRDefault="00A200C8" w:rsidP="00A200C8">
      <w:pPr>
        <w:pStyle w:val="Listenabsatz"/>
        <w:numPr>
          <w:ilvl w:val="0"/>
          <w:numId w:val="13"/>
        </w:numPr>
        <w:rPr>
          <w:b/>
          <w:bCs/>
        </w:rPr>
      </w:pPr>
      <w:r w:rsidRPr="00554832">
        <w:rPr>
          <w:b/>
          <w:bCs/>
        </w:rPr>
        <w:t>88SMS</w:t>
      </w:r>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90F22" w14:textId="77777777" w:rsidR="004F37F6" w:rsidRDefault="004F37F6">
      <w:pPr>
        <w:spacing w:line="240" w:lineRule="auto"/>
      </w:pPr>
      <w:r>
        <w:separator/>
      </w:r>
    </w:p>
  </w:endnote>
  <w:endnote w:type="continuationSeparator" w:id="0">
    <w:p w14:paraId="652C6A9F" w14:textId="77777777" w:rsidR="004F37F6" w:rsidRDefault="004F3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F1D6" w14:textId="77777777" w:rsidR="004F37F6" w:rsidRDefault="004F37F6">
      <w:pPr>
        <w:spacing w:line="240" w:lineRule="auto"/>
      </w:pPr>
      <w:r>
        <w:separator/>
      </w:r>
    </w:p>
  </w:footnote>
  <w:footnote w:type="continuationSeparator" w:id="0">
    <w:p w14:paraId="451384AC" w14:textId="77777777" w:rsidR="004F37F6" w:rsidRDefault="004F37F6">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4F37F6"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33957"/>
    <w:rsid w:val="00041C42"/>
    <w:rsid w:val="00042530"/>
    <w:rsid w:val="00042A93"/>
    <w:rsid w:val="00050FAF"/>
    <w:rsid w:val="00056077"/>
    <w:rsid w:val="000569DB"/>
    <w:rsid w:val="00060378"/>
    <w:rsid w:val="000662FD"/>
    <w:rsid w:val="00066C25"/>
    <w:rsid w:val="00070E64"/>
    <w:rsid w:val="00071B6A"/>
    <w:rsid w:val="0007488E"/>
    <w:rsid w:val="000773C8"/>
    <w:rsid w:val="00083F1D"/>
    <w:rsid w:val="0008640A"/>
    <w:rsid w:val="00087856"/>
    <w:rsid w:val="00091C30"/>
    <w:rsid w:val="00092D41"/>
    <w:rsid w:val="00095A0B"/>
    <w:rsid w:val="0009637B"/>
    <w:rsid w:val="000A08B5"/>
    <w:rsid w:val="000A351B"/>
    <w:rsid w:val="000A520C"/>
    <w:rsid w:val="000A7D25"/>
    <w:rsid w:val="000B5F1B"/>
    <w:rsid w:val="000C029D"/>
    <w:rsid w:val="000C2041"/>
    <w:rsid w:val="000C34D3"/>
    <w:rsid w:val="000C3C33"/>
    <w:rsid w:val="000C5EDC"/>
    <w:rsid w:val="000D0BDC"/>
    <w:rsid w:val="000D0FFD"/>
    <w:rsid w:val="000D4EF2"/>
    <w:rsid w:val="000D5F19"/>
    <w:rsid w:val="000E06EA"/>
    <w:rsid w:val="000E261F"/>
    <w:rsid w:val="000E2E6D"/>
    <w:rsid w:val="000E7AC7"/>
    <w:rsid w:val="000F1717"/>
    <w:rsid w:val="000F2E44"/>
    <w:rsid w:val="000F3352"/>
    <w:rsid w:val="000F335D"/>
    <w:rsid w:val="000F4C37"/>
    <w:rsid w:val="000F5CA8"/>
    <w:rsid w:val="000F714C"/>
    <w:rsid w:val="00101CFD"/>
    <w:rsid w:val="0010280F"/>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C445E"/>
    <w:rsid w:val="003D088A"/>
    <w:rsid w:val="003D25DD"/>
    <w:rsid w:val="003D2C3B"/>
    <w:rsid w:val="003D4960"/>
    <w:rsid w:val="003D4ECF"/>
    <w:rsid w:val="003D638C"/>
    <w:rsid w:val="003D6548"/>
    <w:rsid w:val="003D7194"/>
    <w:rsid w:val="003E0C18"/>
    <w:rsid w:val="003E655F"/>
    <w:rsid w:val="003E686E"/>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41BDA"/>
    <w:rsid w:val="004458F3"/>
    <w:rsid w:val="00456AD4"/>
    <w:rsid w:val="00456DD9"/>
    <w:rsid w:val="0045751C"/>
    <w:rsid w:val="00464226"/>
    <w:rsid w:val="0046464C"/>
    <w:rsid w:val="004661A1"/>
    <w:rsid w:val="004675E0"/>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7F6"/>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37D"/>
    <w:rsid w:val="00577BFB"/>
    <w:rsid w:val="005846F3"/>
    <w:rsid w:val="00592ABC"/>
    <w:rsid w:val="0059409D"/>
    <w:rsid w:val="005A0D25"/>
    <w:rsid w:val="005A137E"/>
    <w:rsid w:val="005A58AC"/>
    <w:rsid w:val="005A642B"/>
    <w:rsid w:val="005B1032"/>
    <w:rsid w:val="005B1301"/>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F0111"/>
    <w:rsid w:val="00601E44"/>
    <w:rsid w:val="00603600"/>
    <w:rsid w:val="0060505C"/>
    <w:rsid w:val="00610AA5"/>
    <w:rsid w:val="00611339"/>
    <w:rsid w:val="006116D3"/>
    <w:rsid w:val="006147D8"/>
    <w:rsid w:val="00621492"/>
    <w:rsid w:val="006218A4"/>
    <w:rsid w:val="00624E85"/>
    <w:rsid w:val="00626CDD"/>
    <w:rsid w:val="0062746B"/>
    <w:rsid w:val="00634538"/>
    <w:rsid w:val="00634F03"/>
    <w:rsid w:val="006441A3"/>
    <w:rsid w:val="00644756"/>
    <w:rsid w:val="00646342"/>
    <w:rsid w:val="00654A7A"/>
    <w:rsid w:val="00664EF1"/>
    <w:rsid w:val="00667282"/>
    <w:rsid w:val="006673D7"/>
    <w:rsid w:val="00667E4C"/>
    <w:rsid w:val="00672B71"/>
    <w:rsid w:val="00673E2D"/>
    <w:rsid w:val="00675148"/>
    <w:rsid w:val="00675607"/>
    <w:rsid w:val="00680637"/>
    <w:rsid w:val="00685563"/>
    <w:rsid w:val="00697649"/>
    <w:rsid w:val="006A19AD"/>
    <w:rsid w:val="006B188A"/>
    <w:rsid w:val="006C052C"/>
    <w:rsid w:val="006C2DF1"/>
    <w:rsid w:val="006C507D"/>
    <w:rsid w:val="006C580B"/>
    <w:rsid w:val="006C58B9"/>
    <w:rsid w:val="006D2F9F"/>
    <w:rsid w:val="006D4B22"/>
    <w:rsid w:val="006D6B8C"/>
    <w:rsid w:val="006D717C"/>
    <w:rsid w:val="006D7D18"/>
    <w:rsid w:val="006E3A9E"/>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748C6"/>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629EA"/>
    <w:rsid w:val="00C6470E"/>
    <w:rsid w:val="00C700CB"/>
    <w:rsid w:val="00C70794"/>
    <w:rsid w:val="00C73D51"/>
    <w:rsid w:val="00C77A9F"/>
    <w:rsid w:val="00C82E94"/>
    <w:rsid w:val="00C836E8"/>
    <w:rsid w:val="00C83EBA"/>
    <w:rsid w:val="00C8524C"/>
    <w:rsid w:val="00C8589A"/>
    <w:rsid w:val="00C92CFC"/>
    <w:rsid w:val="00C94834"/>
    <w:rsid w:val="00C97235"/>
    <w:rsid w:val="00CA08C2"/>
    <w:rsid w:val="00CA16BF"/>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2E88"/>
    <w:rsid w:val="00CF3182"/>
    <w:rsid w:val="00CF5EBD"/>
    <w:rsid w:val="00CF5FAD"/>
    <w:rsid w:val="00CF7802"/>
    <w:rsid w:val="00D05175"/>
    <w:rsid w:val="00D05FC2"/>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B02A6"/>
    <w:rsid w:val="00EB1ADA"/>
    <w:rsid w:val="00EC2480"/>
    <w:rsid w:val="00ED05A4"/>
    <w:rsid w:val="00ED0642"/>
    <w:rsid w:val="00ED395A"/>
    <w:rsid w:val="00ED39E2"/>
    <w:rsid w:val="00EE1A0F"/>
    <w:rsid w:val="00EE7FE7"/>
    <w:rsid w:val="00EF1BCD"/>
    <w:rsid w:val="00EF30D5"/>
    <w:rsid w:val="00EF5C3F"/>
    <w:rsid w:val="00EF61BA"/>
    <w:rsid w:val="00EF62C0"/>
    <w:rsid w:val="00F00FF6"/>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DE2CF7"/>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23581</Words>
  <Characters>129699</Characters>
  <Application>Microsoft Office Word</Application>
  <DocSecurity>0</DocSecurity>
  <Lines>1080</Lines>
  <Paragraphs>305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561</cp:revision>
  <cp:lastPrinted>2021-05-14T10:41:00Z</cp:lastPrinted>
  <dcterms:created xsi:type="dcterms:W3CDTF">2021-05-04T10:40:00Z</dcterms:created>
  <dcterms:modified xsi:type="dcterms:W3CDTF">2021-08-05T05:41:00Z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