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28D43" w14:textId="645ACF49" w:rsidR="00171ACE" w:rsidRDefault="00171ACE" w:rsidP="00171ACE">
      <w:pPr>
        <w:pBdr>
          <w:top w:val="nil"/>
          <w:left w:val="nil"/>
          <w:bottom w:val="nil"/>
          <w:right w:val="nil"/>
          <w:between w:val="nil"/>
        </w:pBdr>
        <w:spacing w:line="240" w:lineRule="auto"/>
        <w:jc w:val="both"/>
        <w:rPr>
          <w:rFonts w:eastAsia="Garamond"/>
          <w:b/>
          <w:sz w:val="20"/>
          <w:szCs w:val="20"/>
          <w:u w:val="single"/>
          <w:lang w:val="es-MX"/>
        </w:rPr>
      </w:pPr>
      <w:r w:rsidRPr="00B210B5">
        <w:rPr>
          <w:rFonts w:eastAsia="Garamond"/>
          <w:b/>
          <w:sz w:val="20"/>
          <w:szCs w:val="20"/>
          <w:u w:val="single"/>
          <w:lang w:val="es-MX"/>
        </w:rPr>
        <w:t>Actividad didáctica 3</w:t>
      </w:r>
      <w:r w:rsidR="00F549DB">
        <w:rPr>
          <w:rFonts w:eastAsia="Garamond"/>
          <w:b/>
          <w:sz w:val="20"/>
          <w:szCs w:val="20"/>
          <w:u w:val="single"/>
          <w:lang w:val="es-MX"/>
        </w:rPr>
        <w:t xml:space="preserve">/ relacionar conceptos </w:t>
      </w:r>
    </w:p>
    <w:p w14:paraId="7092FFEE" w14:textId="77777777" w:rsidR="004D628D" w:rsidRDefault="004D628D" w:rsidP="00171ACE">
      <w:pPr>
        <w:pBdr>
          <w:top w:val="nil"/>
          <w:left w:val="nil"/>
          <w:bottom w:val="nil"/>
          <w:right w:val="nil"/>
          <w:between w:val="nil"/>
        </w:pBdr>
        <w:spacing w:line="240" w:lineRule="auto"/>
        <w:jc w:val="both"/>
        <w:rPr>
          <w:rFonts w:eastAsia="Garamond"/>
          <w:b/>
          <w:sz w:val="20"/>
          <w:szCs w:val="20"/>
          <w:u w:val="single"/>
          <w:lang w:val="es-MX"/>
        </w:rPr>
      </w:pPr>
    </w:p>
    <w:p w14:paraId="5C08AF2E" w14:textId="25A04EE6" w:rsidR="004D628D" w:rsidRDefault="004D628D" w:rsidP="00171ACE">
      <w:pPr>
        <w:pBdr>
          <w:top w:val="nil"/>
          <w:left w:val="nil"/>
          <w:bottom w:val="nil"/>
          <w:right w:val="nil"/>
          <w:between w:val="nil"/>
        </w:pBdr>
        <w:spacing w:line="240" w:lineRule="auto"/>
        <w:jc w:val="both"/>
        <w:rPr>
          <w:rFonts w:eastAsia="Garamond"/>
          <w:b/>
          <w:sz w:val="20"/>
          <w:szCs w:val="20"/>
          <w:u w:val="single"/>
          <w:lang w:val="es-MX"/>
        </w:rPr>
      </w:pPr>
      <w:r>
        <w:rPr>
          <w:rFonts w:eastAsia="Garamond"/>
          <w:b/>
          <w:sz w:val="20"/>
          <w:szCs w:val="20"/>
          <w:u w:val="single"/>
          <w:lang w:val="es-MX"/>
        </w:rPr>
        <w:t>Titulo.</w:t>
      </w:r>
      <w:r w:rsidR="00611A67" w:rsidRPr="00611A67">
        <w:t xml:space="preserve"> </w:t>
      </w:r>
      <w:r w:rsidR="00611A67" w:rsidRPr="00611A67">
        <w:rPr>
          <w:rFonts w:eastAsia="Garamond"/>
          <w:bCs/>
          <w:sz w:val="20"/>
          <w:szCs w:val="20"/>
          <w:lang w:val="es-MX"/>
        </w:rPr>
        <w:t>Voces y vivencias: reflexionando sobre la atención afirmativa</w:t>
      </w:r>
      <w:r w:rsidR="00611A67">
        <w:rPr>
          <w:rFonts w:eastAsia="Garamond"/>
          <w:bCs/>
          <w:sz w:val="20"/>
          <w:szCs w:val="20"/>
          <w:lang w:val="es-MX"/>
        </w:rPr>
        <w:t>.</w:t>
      </w:r>
    </w:p>
    <w:p w14:paraId="2EE5A6DC" w14:textId="71179585" w:rsidR="004D628D" w:rsidRDefault="004D628D" w:rsidP="00171ACE">
      <w:pPr>
        <w:pBdr>
          <w:top w:val="nil"/>
          <w:left w:val="nil"/>
          <w:bottom w:val="nil"/>
          <w:right w:val="nil"/>
          <w:between w:val="nil"/>
        </w:pBdr>
        <w:spacing w:line="240" w:lineRule="auto"/>
        <w:jc w:val="both"/>
        <w:rPr>
          <w:rFonts w:eastAsia="Garamond"/>
          <w:b/>
          <w:sz w:val="20"/>
          <w:szCs w:val="20"/>
          <w:u w:val="single"/>
          <w:lang w:val="es-MX"/>
        </w:rPr>
      </w:pPr>
      <w:r>
        <w:rPr>
          <w:rFonts w:eastAsia="Garamond"/>
          <w:b/>
          <w:sz w:val="20"/>
          <w:szCs w:val="20"/>
          <w:u w:val="single"/>
          <w:lang w:val="es-MX"/>
        </w:rPr>
        <w:t xml:space="preserve">Objetivo. </w:t>
      </w:r>
      <w:r w:rsidR="00713025">
        <w:rPr>
          <w:rFonts w:eastAsia="Garamond"/>
          <w:b/>
          <w:sz w:val="20"/>
          <w:szCs w:val="20"/>
          <w:u w:val="single"/>
          <w:lang w:val="es-MX"/>
        </w:rPr>
        <w:t xml:space="preserve"> </w:t>
      </w:r>
      <w:r w:rsidR="00713025" w:rsidRPr="00713025">
        <w:rPr>
          <w:rFonts w:eastAsia="Garamond"/>
          <w:bCs/>
          <w:sz w:val="20"/>
          <w:szCs w:val="20"/>
          <w:lang w:val="es-MX"/>
        </w:rPr>
        <w:t xml:space="preserve">Promover la comprensión y empatía hacia las experiencias de atención médica de las personas de los sectores </w:t>
      </w:r>
      <w:proofErr w:type="spellStart"/>
      <w:r w:rsidR="00713025" w:rsidRPr="00713025">
        <w:rPr>
          <w:rFonts w:eastAsia="Garamond"/>
          <w:bCs/>
          <w:sz w:val="20"/>
          <w:szCs w:val="20"/>
          <w:lang w:val="es-MX"/>
        </w:rPr>
        <w:t>LGBTIQ</w:t>
      </w:r>
      <w:proofErr w:type="spellEnd"/>
      <w:r w:rsidR="00713025" w:rsidRPr="00713025">
        <w:rPr>
          <w:rFonts w:eastAsia="Garamond"/>
          <w:bCs/>
          <w:sz w:val="20"/>
          <w:szCs w:val="20"/>
          <w:lang w:val="es-MX"/>
        </w:rPr>
        <w:t>+ y con orientaciones sexuales e identidades de género no hegemónicas.</w:t>
      </w:r>
    </w:p>
    <w:p w14:paraId="42983B8F" w14:textId="77777777" w:rsidR="00F549DB" w:rsidRDefault="00F549DB" w:rsidP="00171ACE">
      <w:pPr>
        <w:pBdr>
          <w:top w:val="nil"/>
          <w:left w:val="nil"/>
          <w:bottom w:val="nil"/>
          <w:right w:val="nil"/>
          <w:between w:val="nil"/>
        </w:pBdr>
        <w:spacing w:line="240" w:lineRule="auto"/>
        <w:jc w:val="both"/>
        <w:rPr>
          <w:rFonts w:eastAsia="Garamond"/>
          <w:b/>
          <w:sz w:val="20"/>
          <w:szCs w:val="20"/>
          <w:u w:val="single"/>
          <w:lang w:val="es-MX"/>
        </w:rPr>
      </w:pPr>
    </w:p>
    <w:p w14:paraId="3EA8BBC8" w14:textId="77777777" w:rsidR="00F549DB" w:rsidRPr="00B210B5" w:rsidRDefault="00F549DB" w:rsidP="00171ACE">
      <w:pPr>
        <w:pBdr>
          <w:top w:val="nil"/>
          <w:left w:val="nil"/>
          <w:bottom w:val="nil"/>
          <w:right w:val="nil"/>
          <w:between w:val="nil"/>
        </w:pBdr>
        <w:spacing w:line="240" w:lineRule="auto"/>
        <w:jc w:val="both"/>
        <w:rPr>
          <w:rFonts w:eastAsia="Garamond"/>
          <w:b/>
          <w:sz w:val="20"/>
          <w:szCs w:val="20"/>
          <w:u w:val="single"/>
          <w:lang w:val="es-MX"/>
        </w:rPr>
      </w:pPr>
    </w:p>
    <w:p w14:paraId="48C218AF" w14:textId="20FDA9DB" w:rsidR="00171ACE" w:rsidRDefault="00A24172" w:rsidP="00713025">
      <w:pPr>
        <w:pBdr>
          <w:top w:val="nil"/>
          <w:left w:val="nil"/>
          <w:bottom w:val="nil"/>
          <w:right w:val="nil"/>
          <w:between w:val="nil"/>
        </w:pBdr>
        <w:shd w:val="clear" w:color="auto" w:fill="FFFFFF"/>
        <w:spacing w:line="240" w:lineRule="auto"/>
        <w:jc w:val="both"/>
        <w:rPr>
          <w:rFonts w:eastAsia="Garamond"/>
          <w:color w:val="000000"/>
          <w:sz w:val="20"/>
          <w:szCs w:val="20"/>
          <w:lang w:val="es-MX"/>
        </w:rPr>
      </w:pPr>
      <w:sdt>
        <w:sdtPr>
          <w:rPr>
            <w:sz w:val="20"/>
            <w:szCs w:val="20"/>
            <w:lang w:val="es-MX"/>
          </w:rPr>
          <w:tag w:val="goog_rdk_342"/>
          <w:id w:val="-2115512067"/>
          <w:showingPlcHdr/>
        </w:sdtPr>
        <w:sdtEndPr/>
        <w:sdtContent>
          <w:r w:rsidR="00713025">
            <w:rPr>
              <w:sz w:val="20"/>
              <w:szCs w:val="20"/>
              <w:lang w:val="es-MX"/>
            </w:rPr>
            <w:t xml:space="preserve">     </w:t>
          </w:r>
        </w:sdtContent>
      </w:sdt>
      <w:sdt>
        <w:sdtPr>
          <w:rPr>
            <w:sz w:val="20"/>
            <w:szCs w:val="20"/>
            <w:lang w:val="es-MX"/>
          </w:rPr>
          <w:tag w:val="goog_rdk_343"/>
          <w:id w:val="-557398112"/>
        </w:sdtPr>
        <w:sdtEndPr/>
        <w:sdtContent>
          <w:r w:rsidR="00171ACE" w:rsidRPr="00B210B5">
            <w:rPr>
              <w:rFonts w:eastAsia="Garamond"/>
              <w:color w:val="000000"/>
              <w:sz w:val="20"/>
              <w:szCs w:val="20"/>
              <w:lang w:val="es-MX"/>
            </w:rPr>
            <w:t>A</w:t>
          </w:r>
        </w:sdtContent>
      </w:sdt>
      <w:r w:rsidR="00171ACE" w:rsidRPr="00B210B5">
        <w:rPr>
          <w:rFonts w:eastAsia="Garamond"/>
          <w:color w:val="000000"/>
          <w:sz w:val="20"/>
          <w:szCs w:val="20"/>
          <w:lang w:val="es-MX"/>
        </w:rPr>
        <w:t xml:space="preserve"> continuación encontrará algunas narrativas reportadas por personas de los sectores </w:t>
      </w:r>
      <w:sdt>
        <w:sdtPr>
          <w:rPr>
            <w:sz w:val="20"/>
            <w:szCs w:val="20"/>
            <w:lang w:val="es-MX"/>
          </w:rPr>
          <w:tag w:val="goog_rdk_344"/>
          <w:id w:val="-1448537523"/>
        </w:sdtPr>
        <w:sdtEndPr/>
        <w:sdtContent/>
      </w:sdt>
      <w:sdt>
        <w:sdtPr>
          <w:rPr>
            <w:sz w:val="20"/>
            <w:szCs w:val="20"/>
            <w:lang w:val="es-MX"/>
          </w:rPr>
          <w:tag w:val="goog_rdk_345"/>
          <w:id w:val="1698733125"/>
        </w:sdtPr>
        <w:sdtEndPr/>
        <w:sdtContent/>
      </w:sdt>
      <w:proofErr w:type="spellStart"/>
      <w:r w:rsidR="00171ACE" w:rsidRPr="00B210B5">
        <w:rPr>
          <w:rFonts w:eastAsia="Garamond"/>
          <w:color w:val="000000"/>
          <w:sz w:val="20"/>
          <w:szCs w:val="20"/>
          <w:lang w:val="es-MX"/>
        </w:rPr>
        <w:t>LGBTIQ</w:t>
      </w:r>
      <w:proofErr w:type="spellEnd"/>
      <w:r w:rsidR="00171ACE" w:rsidRPr="00B210B5">
        <w:rPr>
          <w:rFonts w:eastAsia="Garamond"/>
          <w:color w:val="000000"/>
          <w:sz w:val="20"/>
          <w:szCs w:val="20"/>
          <w:lang w:val="es-MX"/>
        </w:rPr>
        <w:t xml:space="preserve">+ y con orientaciones sexuales e identidades de género no hegemónicas. Debe relacionar esta experiencia con los modelos de atención </w:t>
      </w:r>
      <w:r w:rsidR="00171ACE" w:rsidRPr="00B210B5">
        <w:rPr>
          <w:rFonts w:eastAsia="Garamond"/>
          <w:b/>
          <w:color w:val="000000"/>
          <w:sz w:val="20"/>
          <w:szCs w:val="20"/>
          <w:lang w:val="es-MX"/>
        </w:rPr>
        <w:t>No Afirmativos.</w:t>
      </w:r>
      <w:r w:rsidR="00171ACE" w:rsidRPr="00B210B5">
        <w:rPr>
          <w:rFonts w:eastAsia="Garamond"/>
          <w:color w:val="000000"/>
          <w:sz w:val="20"/>
          <w:szCs w:val="20"/>
          <w:lang w:val="es-MX"/>
        </w:rPr>
        <w:t xml:space="preserve">  </w:t>
      </w:r>
    </w:p>
    <w:p w14:paraId="02FEAD85" w14:textId="77777777" w:rsidR="00713025" w:rsidRPr="00B210B5" w:rsidRDefault="00713025" w:rsidP="00713025">
      <w:pPr>
        <w:pBdr>
          <w:top w:val="nil"/>
          <w:left w:val="nil"/>
          <w:bottom w:val="nil"/>
          <w:right w:val="nil"/>
          <w:between w:val="nil"/>
        </w:pBdr>
        <w:shd w:val="clear" w:color="auto" w:fill="FFFFFF"/>
        <w:spacing w:line="240" w:lineRule="auto"/>
        <w:jc w:val="both"/>
        <w:rPr>
          <w:rFonts w:eastAsia="Garamond"/>
          <w:color w:val="000000"/>
          <w:sz w:val="20"/>
          <w:szCs w:val="20"/>
          <w:lang w:val="es-MX"/>
        </w:rPr>
      </w:pPr>
    </w:p>
    <w:tbl>
      <w:tblPr>
        <w:tblW w:w="89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5"/>
        <w:gridCol w:w="6100"/>
        <w:gridCol w:w="1745"/>
      </w:tblGrid>
      <w:tr w:rsidR="00F549DB" w:rsidRPr="00B210B5" w14:paraId="51CB1234" w14:textId="77777777" w:rsidTr="00F549DB">
        <w:trPr>
          <w:gridAfter w:val="1"/>
          <w:wAfter w:w="1745" w:type="dxa"/>
        </w:trPr>
        <w:tc>
          <w:tcPr>
            <w:tcW w:w="7225" w:type="dxa"/>
            <w:gridSpan w:val="2"/>
          </w:tcPr>
          <w:p w14:paraId="57CAF155"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Enunciado</w:t>
            </w:r>
          </w:p>
        </w:tc>
      </w:tr>
      <w:tr w:rsidR="00F549DB" w:rsidRPr="00B210B5" w14:paraId="7B3B107B" w14:textId="77777777" w:rsidTr="00F549DB">
        <w:trPr>
          <w:trHeight w:val="42"/>
        </w:trPr>
        <w:tc>
          <w:tcPr>
            <w:tcW w:w="1125" w:type="dxa"/>
          </w:tcPr>
          <w:p w14:paraId="76863878" w14:textId="77777777" w:rsidR="00F549DB" w:rsidRPr="00B210B5" w:rsidRDefault="00F549DB" w:rsidP="0063121E">
            <w:pPr>
              <w:spacing w:line="240" w:lineRule="auto"/>
              <w:jc w:val="center"/>
              <w:rPr>
                <w:rFonts w:eastAsia="Garamond"/>
                <w:b/>
                <w:color w:val="595959"/>
                <w:sz w:val="20"/>
                <w:szCs w:val="20"/>
                <w:lang w:val="es-MX"/>
              </w:rPr>
            </w:pPr>
            <w:r w:rsidRPr="00B210B5">
              <w:rPr>
                <w:rFonts w:eastAsia="Garamond"/>
                <w:color w:val="595959"/>
                <w:sz w:val="20"/>
                <w:szCs w:val="20"/>
                <w:lang w:val="es-MX"/>
              </w:rPr>
              <w:t>No.</w:t>
            </w:r>
          </w:p>
        </w:tc>
        <w:tc>
          <w:tcPr>
            <w:tcW w:w="6100" w:type="dxa"/>
          </w:tcPr>
          <w:p w14:paraId="16313CCC"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Opción</w:t>
            </w:r>
          </w:p>
        </w:tc>
        <w:tc>
          <w:tcPr>
            <w:tcW w:w="1745" w:type="dxa"/>
          </w:tcPr>
          <w:p w14:paraId="702FF79C"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Opción</w:t>
            </w:r>
          </w:p>
        </w:tc>
      </w:tr>
      <w:tr w:rsidR="00F549DB" w:rsidRPr="00B210B5" w14:paraId="4DE097D9" w14:textId="77777777" w:rsidTr="00F549DB">
        <w:trPr>
          <w:trHeight w:val="38"/>
        </w:trPr>
        <w:tc>
          <w:tcPr>
            <w:tcW w:w="1125" w:type="dxa"/>
          </w:tcPr>
          <w:p w14:paraId="23F445C8" w14:textId="77777777" w:rsidR="00F549DB" w:rsidRPr="00B210B5" w:rsidRDefault="00F549DB" w:rsidP="0063121E">
            <w:pPr>
              <w:spacing w:line="240" w:lineRule="auto"/>
              <w:jc w:val="center"/>
              <w:rPr>
                <w:rFonts w:eastAsia="Garamond"/>
                <w:b/>
                <w:color w:val="595959"/>
                <w:sz w:val="20"/>
                <w:szCs w:val="20"/>
                <w:lang w:val="es-MX"/>
              </w:rPr>
            </w:pPr>
            <w:r w:rsidRPr="00B210B5">
              <w:rPr>
                <w:rFonts w:eastAsia="Garamond"/>
                <w:color w:val="595959"/>
                <w:sz w:val="20"/>
                <w:szCs w:val="20"/>
                <w:lang w:val="es-MX"/>
              </w:rPr>
              <w:t>1</w:t>
            </w:r>
          </w:p>
        </w:tc>
        <w:tc>
          <w:tcPr>
            <w:tcW w:w="6100" w:type="dxa"/>
          </w:tcPr>
          <w:p w14:paraId="6D25D050" w14:textId="77777777" w:rsidR="00F549DB" w:rsidRPr="00B210B5" w:rsidRDefault="00F549DB" w:rsidP="0063121E">
            <w:pPr>
              <w:spacing w:line="240" w:lineRule="auto"/>
              <w:jc w:val="both"/>
              <w:rPr>
                <w:rFonts w:eastAsia="Garamond"/>
                <w:sz w:val="20"/>
                <w:szCs w:val="20"/>
                <w:lang w:val="es-MX"/>
              </w:rPr>
            </w:pPr>
            <w:r w:rsidRPr="00B210B5">
              <w:rPr>
                <w:rFonts w:eastAsia="Garamond"/>
                <w:sz w:val="20"/>
                <w:szCs w:val="20"/>
                <w:lang w:val="es-MX"/>
              </w:rPr>
              <w:t>“Lo otro es, bueno en mi caso es difícil pasar como mujer en algunos casos y me llaman pues a veces paso como andrógina. Entonces pues no me afecta cuando no se me es reconocido por mi nombre, pero en situaciones como chicas que están totalmente transitadas, pero no han tenido la posibilidad de cedularse, entonces es peor porque le gritan el nombre o la llaman por “</w:t>
            </w:r>
            <w:proofErr w:type="spellStart"/>
            <w:r w:rsidRPr="00B210B5">
              <w:rPr>
                <w:rFonts w:eastAsia="Garamond"/>
                <w:sz w:val="20"/>
                <w:szCs w:val="20"/>
                <w:lang w:val="es-MX"/>
              </w:rPr>
              <w:t>Wandelot</w:t>
            </w:r>
            <w:proofErr w:type="spellEnd"/>
            <w:r w:rsidRPr="00B210B5">
              <w:rPr>
                <w:rFonts w:eastAsia="Garamond"/>
                <w:sz w:val="20"/>
                <w:szCs w:val="20"/>
                <w:lang w:val="es-MX"/>
              </w:rPr>
              <w:t>”, y es difícil porque todos se te quedan mirando y es incómodo el cómo poder levantarse”.</w:t>
            </w:r>
          </w:p>
          <w:p w14:paraId="5EB571EA" w14:textId="77777777" w:rsidR="00F549DB" w:rsidRPr="00B210B5" w:rsidRDefault="00F549DB" w:rsidP="0063121E">
            <w:pPr>
              <w:spacing w:line="240" w:lineRule="auto"/>
              <w:jc w:val="both"/>
              <w:rPr>
                <w:rFonts w:eastAsia="Garamond"/>
                <w:color w:val="595959"/>
                <w:sz w:val="20"/>
                <w:szCs w:val="20"/>
                <w:lang w:val="es-MX"/>
              </w:rPr>
            </w:pPr>
          </w:p>
        </w:tc>
        <w:tc>
          <w:tcPr>
            <w:tcW w:w="1745" w:type="dxa"/>
          </w:tcPr>
          <w:p w14:paraId="3B0870EA"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Modelo de neutralidad</w:t>
            </w:r>
          </w:p>
        </w:tc>
      </w:tr>
      <w:tr w:rsidR="00F549DB" w:rsidRPr="00B210B5" w14:paraId="68117142" w14:textId="77777777" w:rsidTr="00F549DB">
        <w:trPr>
          <w:trHeight w:val="38"/>
        </w:trPr>
        <w:tc>
          <w:tcPr>
            <w:tcW w:w="1125" w:type="dxa"/>
          </w:tcPr>
          <w:p w14:paraId="3C2E4DAD"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2</w:t>
            </w:r>
          </w:p>
        </w:tc>
        <w:tc>
          <w:tcPr>
            <w:tcW w:w="6100" w:type="dxa"/>
          </w:tcPr>
          <w:p w14:paraId="5766CAA0" w14:textId="77777777" w:rsidR="00F549DB" w:rsidRPr="00B210B5" w:rsidRDefault="00F549DB" w:rsidP="0063121E">
            <w:pPr>
              <w:spacing w:line="240" w:lineRule="auto"/>
              <w:jc w:val="both"/>
              <w:rPr>
                <w:sz w:val="20"/>
                <w:szCs w:val="20"/>
                <w:lang w:val="es-MX"/>
              </w:rPr>
            </w:pPr>
            <w:r w:rsidRPr="00B210B5">
              <w:rPr>
                <w:rFonts w:eastAsia="Garamond"/>
                <w:sz w:val="20"/>
                <w:szCs w:val="20"/>
                <w:lang w:val="es-MX"/>
              </w:rPr>
              <w:t xml:space="preserve">“Está el estigma preestablecido a la hora de ir a un servicio médico común, como por ejemplo ir al odontólogo, que si me duele la muela, debe ser que usted ya tiene VIH, cada vez que voy al médico, se busca la manera de que me hagan una prueba de VIH, o sea no hay fundamento para justificarlo, pero ya está infundado en los profesionales, nosotras somos </w:t>
            </w:r>
            <w:proofErr w:type="spellStart"/>
            <w:r w:rsidRPr="00B210B5">
              <w:rPr>
                <w:rFonts w:eastAsia="Garamond"/>
                <w:sz w:val="20"/>
                <w:szCs w:val="20"/>
                <w:lang w:val="es-MX"/>
              </w:rPr>
              <w:t>H1N1</w:t>
            </w:r>
            <w:proofErr w:type="spellEnd"/>
            <w:r w:rsidRPr="00B210B5">
              <w:rPr>
                <w:rFonts w:eastAsia="Garamond"/>
                <w:sz w:val="20"/>
                <w:szCs w:val="20"/>
                <w:lang w:val="es-MX"/>
              </w:rPr>
              <w:t>, todavía el sistema de salud se aferra a esa creencia, y si lo manejaran de manera ética, uno diría por lo menos hay algo de control, pero eso no sucede, a mí me ha pasado que he sido víctima de escarnio público con una prueba de VIH estando hospitalizada, y eso es completamente tedioso”.</w:t>
            </w:r>
            <w:r w:rsidRPr="00B210B5">
              <w:rPr>
                <w:sz w:val="20"/>
                <w:szCs w:val="20"/>
                <w:lang w:val="es-MX"/>
              </w:rPr>
              <w:t xml:space="preserve">   </w:t>
            </w:r>
          </w:p>
          <w:p w14:paraId="1D7841BB" w14:textId="77777777" w:rsidR="00F549DB" w:rsidRPr="00B210B5" w:rsidRDefault="00F549DB" w:rsidP="0063121E">
            <w:pPr>
              <w:spacing w:line="240" w:lineRule="auto"/>
              <w:jc w:val="both"/>
              <w:rPr>
                <w:rFonts w:eastAsia="Garamond"/>
                <w:color w:val="595959"/>
                <w:sz w:val="20"/>
                <w:szCs w:val="20"/>
                <w:lang w:val="es-MX"/>
              </w:rPr>
            </w:pPr>
          </w:p>
        </w:tc>
        <w:tc>
          <w:tcPr>
            <w:tcW w:w="1745" w:type="dxa"/>
          </w:tcPr>
          <w:p w14:paraId="708637A4"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Modelo de segregación</w:t>
            </w:r>
          </w:p>
        </w:tc>
      </w:tr>
      <w:tr w:rsidR="00F549DB" w:rsidRPr="00B210B5" w14:paraId="36C02AA7" w14:textId="77777777" w:rsidTr="00F549DB">
        <w:trPr>
          <w:trHeight w:val="64"/>
        </w:trPr>
        <w:tc>
          <w:tcPr>
            <w:tcW w:w="1125" w:type="dxa"/>
          </w:tcPr>
          <w:p w14:paraId="0032D35D"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3</w:t>
            </w:r>
          </w:p>
        </w:tc>
        <w:tc>
          <w:tcPr>
            <w:tcW w:w="6100" w:type="dxa"/>
          </w:tcPr>
          <w:p w14:paraId="38E336DB" w14:textId="3B06860B" w:rsidR="00F549DB" w:rsidRPr="00B210B5" w:rsidRDefault="00F549DB" w:rsidP="0063121E">
            <w:pPr>
              <w:spacing w:line="240" w:lineRule="auto"/>
              <w:jc w:val="both"/>
              <w:rPr>
                <w:rFonts w:eastAsia="Garamond"/>
                <w:sz w:val="20"/>
                <w:szCs w:val="20"/>
                <w:lang w:val="es-MX"/>
              </w:rPr>
            </w:pPr>
            <w:r w:rsidRPr="00B210B5">
              <w:rPr>
                <w:rFonts w:eastAsia="Garamond"/>
                <w:sz w:val="20"/>
                <w:szCs w:val="20"/>
                <w:lang w:val="es-MX"/>
              </w:rPr>
              <w:t>“Me parece que los profesionales obligan a que una reciba su atención bajo sus condiciones, y es una humillación cuando una debe someterse bajo unas reglas que dictan ellos desde el estigma”.</w:t>
            </w:r>
            <w:sdt>
              <w:sdtPr>
                <w:rPr>
                  <w:sz w:val="20"/>
                  <w:szCs w:val="20"/>
                  <w:lang w:val="es-MX"/>
                </w:rPr>
                <w:tag w:val="goog_rdk_346"/>
                <w:id w:val="867722769"/>
              </w:sdtPr>
              <w:sdtEndPr/>
              <w:sdtContent>
                <w:r w:rsidRPr="00B210B5">
                  <w:rPr>
                    <w:rFonts w:eastAsia="Garamond"/>
                    <w:sz w:val="20"/>
                    <w:szCs w:val="20"/>
                    <w:lang w:val="es-MX"/>
                  </w:rPr>
                  <w:t xml:space="preserve"> Otro ejemplo: Como grupo, las lesbianas acudimos con muy poca frecuencia a chequeos con doctores y otros profesionales de la salud, especialmente si no tenemos hijos, pues ellos nos harían estar más en contacto con los médicos. Muchas de nosotras percibimos o recibimos una reacción negativa cuando hablamos de nuestra sexualidad, o bien, muchas veces la ocultamos y nos resignamos a escuchar preguntas sobre anticonceptivos y otras cuestiones con las que se asume que somos heterosexuales. Para algunas, esta situación es más que suficiente para alejarse de los tratamientos médicos a menos que se trate de una emergencia extrema, por lo que los chequeos rutinarios para detectar a tiempo el cáncer de cuello de útero y las mamografías quedan fuera de </w:t>
                </w:r>
                <w:r w:rsidR="00B776E4" w:rsidRPr="00B210B5">
                  <w:rPr>
                    <w:rFonts w:eastAsia="Garamond"/>
                    <w:sz w:val="20"/>
                    <w:szCs w:val="20"/>
                    <w:lang w:val="es-MX"/>
                  </w:rPr>
                  <w:t>nuestras vidas</w:t>
                </w:r>
                <w:r w:rsidR="00B776E4">
                  <w:rPr>
                    <w:rFonts w:eastAsia="Garamond"/>
                    <w:sz w:val="20"/>
                    <w:szCs w:val="20"/>
                    <w:lang w:val="es-MX"/>
                  </w:rPr>
                  <w:t>”.</w:t>
                </w:r>
              </w:sdtContent>
            </w:sdt>
          </w:p>
          <w:p w14:paraId="7FBC3F81" w14:textId="77777777" w:rsidR="00F549DB" w:rsidRPr="00B210B5" w:rsidRDefault="00F549DB" w:rsidP="0063121E">
            <w:pPr>
              <w:spacing w:line="240" w:lineRule="auto"/>
              <w:jc w:val="both"/>
              <w:rPr>
                <w:rFonts w:eastAsia="Garamond"/>
                <w:color w:val="595959"/>
                <w:sz w:val="20"/>
                <w:szCs w:val="20"/>
                <w:lang w:val="es-MX"/>
              </w:rPr>
            </w:pPr>
          </w:p>
        </w:tc>
        <w:tc>
          <w:tcPr>
            <w:tcW w:w="1745" w:type="dxa"/>
          </w:tcPr>
          <w:p w14:paraId="09CDC9B7"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 xml:space="preserve">Modelo de </w:t>
            </w:r>
            <w:proofErr w:type="spellStart"/>
            <w:r w:rsidRPr="00B210B5">
              <w:rPr>
                <w:rFonts w:eastAsia="Garamond"/>
                <w:color w:val="595959"/>
                <w:sz w:val="20"/>
                <w:szCs w:val="20"/>
                <w:lang w:val="es-MX"/>
              </w:rPr>
              <w:t>exotización</w:t>
            </w:r>
            <w:proofErr w:type="spellEnd"/>
          </w:p>
        </w:tc>
      </w:tr>
      <w:tr w:rsidR="00F549DB" w:rsidRPr="00B210B5" w14:paraId="7A43F4C8" w14:textId="77777777" w:rsidTr="00F549DB">
        <w:trPr>
          <w:trHeight w:val="64"/>
        </w:trPr>
        <w:tc>
          <w:tcPr>
            <w:tcW w:w="1125" w:type="dxa"/>
          </w:tcPr>
          <w:p w14:paraId="053112DA"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4</w:t>
            </w:r>
          </w:p>
        </w:tc>
        <w:tc>
          <w:tcPr>
            <w:tcW w:w="6100" w:type="dxa"/>
          </w:tcPr>
          <w:p w14:paraId="46ACE1ED" w14:textId="77777777" w:rsidR="00F549DB" w:rsidRPr="008D008B" w:rsidRDefault="00F549DB" w:rsidP="0063121E">
            <w:pPr>
              <w:spacing w:line="240" w:lineRule="auto"/>
              <w:jc w:val="both"/>
              <w:rPr>
                <w:rFonts w:eastAsia="Garamond"/>
                <w:sz w:val="20"/>
                <w:szCs w:val="20"/>
                <w:lang w:val="es-MX"/>
              </w:rPr>
            </w:pPr>
            <w:r w:rsidRPr="008D008B">
              <w:rPr>
                <w:sz w:val="20"/>
                <w:szCs w:val="20"/>
                <w:lang w:val="es-MX"/>
              </w:rPr>
              <w:t xml:space="preserve">“Uno habla, pero a veces uno siente que no lo escuchan, que se preocupan más por escribir o comenzar a sacar formulas y mirar que le recetan a uno que escuchar como tal el problema, utilizando </w:t>
            </w:r>
            <w:r w:rsidRPr="008D008B">
              <w:rPr>
                <w:sz w:val="20"/>
                <w:szCs w:val="20"/>
                <w:lang w:val="es-MX"/>
              </w:rPr>
              <w:lastRenderedPageBreak/>
              <w:t>términos inadecuados, toscos y muchas veces ofensivos para nosotros como personas LGBT en la consulta”</w:t>
            </w:r>
          </w:p>
        </w:tc>
        <w:tc>
          <w:tcPr>
            <w:tcW w:w="1745" w:type="dxa"/>
          </w:tcPr>
          <w:p w14:paraId="2AF0FDC3"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lastRenderedPageBreak/>
              <w:t>Modelo de segregación</w:t>
            </w:r>
          </w:p>
        </w:tc>
      </w:tr>
      <w:tr w:rsidR="00F549DB" w:rsidRPr="00B210B5" w14:paraId="3B3C521B" w14:textId="77777777" w:rsidTr="00F549DB">
        <w:trPr>
          <w:trHeight w:val="64"/>
        </w:trPr>
        <w:tc>
          <w:tcPr>
            <w:tcW w:w="1125" w:type="dxa"/>
          </w:tcPr>
          <w:p w14:paraId="1C129FC9"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5</w:t>
            </w:r>
          </w:p>
        </w:tc>
        <w:tc>
          <w:tcPr>
            <w:tcW w:w="6100" w:type="dxa"/>
          </w:tcPr>
          <w:p w14:paraId="118890B4" w14:textId="164B0E46" w:rsidR="00F549DB" w:rsidRPr="008D008B" w:rsidRDefault="00F549DB" w:rsidP="0063121E">
            <w:pPr>
              <w:spacing w:line="240" w:lineRule="auto"/>
              <w:jc w:val="both"/>
              <w:rPr>
                <w:rFonts w:eastAsia="Garamond"/>
                <w:sz w:val="20"/>
                <w:szCs w:val="20"/>
                <w:lang w:val="es-MX"/>
              </w:rPr>
            </w:pPr>
            <w:r w:rsidRPr="008D008B">
              <w:rPr>
                <w:sz w:val="20"/>
                <w:szCs w:val="20"/>
                <w:lang w:val="es-MX"/>
              </w:rPr>
              <w:t xml:space="preserve">Como grupo, las lesbianas acudimos con muy poca frecuencia a chequeos con doctores y otros profesionales de la salud, especialmente si no tenemos hijos, pues ellos nos harían estar más en contacto con los médicos. Muchas de nosotras percibimos o recibimos una reacción negativa cuando hablamos de nuestra sexualidad, o bien, muchas veces la ocultamos y nos resignamos a escuchar preguntas sobre anticonceptivos y otras cuestiones con las que se asume que somos heterosexuales. Para algunas, esta situación es más que suficiente para alejarse de los tratamientos médicos a menos que se trate de una emergencia extrema, por lo que los chequeos rutinarios para detectar a tiempo el cáncer de cuello de útero y las mamografías quedan fuera de </w:t>
            </w:r>
            <w:r w:rsidR="00A24172" w:rsidRPr="008D008B">
              <w:rPr>
                <w:sz w:val="20"/>
                <w:szCs w:val="20"/>
                <w:lang w:val="es-MX"/>
              </w:rPr>
              <w:t>nuestras vidas</w:t>
            </w:r>
            <w:r w:rsidRPr="008D008B">
              <w:rPr>
                <w:sz w:val="20"/>
                <w:szCs w:val="20"/>
                <w:lang w:val="es-MX"/>
              </w:rPr>
              <w:t>.”</w:t>
            </w:r>
          </w:p>
        </w:tc>
        <w:tc>
          <w:tcPr>
            <w:tcW w:w="1745" w:type="dxa"/>
          </w:tcPr>
          <w:p w14:paraId="63973796"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Modelo de neutralidad</w:t>
            </w:r>
          </w:p>
        </w:tc>
      </w:tr>
      <w:tr w:rsidR="00F549DB" w:rsidRPr="00B210B5" w14:paraId="76017E3B" w14:textId="77777777" w:rsidTr="00F549DB">
        <w:trPr>
          <w:trHeight w:val="38"/>
        </w:trPr>
        <w:tc>
          <w:tcPr>
            <w:tcW w:w="1125" w:type="dxa"/>
          </w:tcPr>
          <w:p w14:paraId="14269CC5"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6</w:t>
            </w:r>
          </w:p>
        </w:tc>
        <w:tc>
          <w:tcPr>
            <w:tcW w:w="6100" w:type="dxa"/>
          </w:tcPr>
          <w:p w14:paraId="2858E592" w14:textId="77777777" w:rsidR="00F549DB" w:rsidRPr="008D008B" w:rsidRDefault="00A24172" w:rsidP="0063121E">
            <w:pPr>
              <w:spacing w:line="240" w:lineRule="auto"/>
              <w:jc w:val="both"/>
              <w:rPr>
                <w:rFonts w:eastAsia="Garamond"/>
                <w:sz w:val="20"/>
                <w:szCs w:val="20"/>
                <w:lang w:val="es-MX"/>
              </w:rPr>
            </w:pPr>
            <w:sdt>
              <w:sdtPr>
                <w:rPr>
                  <w:sz w:val="20"/>
                  <w:szCs w:val="20"/>
                  <w:lang w:val="es-MX"/>
                </w:rPr>
                <w:tag w:val="goog_rdk_347"/>
                <w:id w:val="1777901148"/>
              </w:sdtPr>
              <w:sdtEndPr/>
              <w:sdtContent/>
            </w:sdt>
            <w:r w:rsidR="00F549DB" w:rsidRPr="008D008B">
              <w:rPr>
                <w:rFonts w:eastAsia="Garamond"/>
                <w:sz w:val="20"/>
                <w:szCs w:val="20"/>
                <w:lang w:val="es-MX"/>
              </w:rPr>
              <w:t xml:space="preserve">“Otra cosa es la adaptación de los servicios a las necesidades de la población, entonces a una le dicen en caso de tener VIH que solo hay una opción y es, o se toma los antirretrovirales o se toma las hormonas, entonces o se muere o mira que hace, o sea estamos tan mal aquí en el país, es decir, en este país una chica trans que vive con VIH, no tiene derecho a </w:t>
            </w:r>
            <w:proofErr w:type="spellStart"/>
            <w:r w:rsidR="00F549DB" w:rsidRPr="008D008B">
              <w:rPr>
                <w:rFonts w:eastAsia="Garamond"/>
                <w:sz w:val="20"/>
                <w:szCs w:val="20"/>
                <w:lang w:val="es-MX"/>
              </w:rPr>
              <w:t>hormonizarse</w:t>
            </w:r>
            <w:proofErr w:type="spellEnd"/>
            <w:r w:rsidR="00F549DB" w:rsidRPr="008D008B">
              <w:rPr>
                <w:rFonts w:eastAsia="Garamond"/>
                <w:sz w:val="20"/>
                <w:szCs w:val="20"/>
                <w:lang w:val="es-MX"/>
              </w:rPr>
              <w:t>, a recibir una dosificación idónea, o mucho peor, pierde el derecho de continuar con su proceso de transformación corporal, tiene que detener su tránsito”.</w:t>
            </w:r>
          </w:p>
        </w:tc>
        <w:tc>
          <w:tcPr>
            <w:tcW w:w="1745" w:type="dxa"/>
          </w:tcPr>
          <w:p w14:paraId="42DB66BF" w14:textId="77777777" w:rsidR="00F549DB" w:rsidRPr="00B210B5" w:rsidRDefault="00F549DB" w:rsidP="0063121E">
            <w:pPr>
              <w:spacing w:line="240" w:lineRule="auto"/>
              <w:jc w:val="center"/>
              <w:rPr>
                <w:rFonts w:eastAsia="Garamond"/>
                <w:color w:val="595959"/>
                <w:sz w:val="20"/>
                <w:szCs w:val="20"/>
                <w:lang w:val="es-MX"/>
              </w:rPr>
            </w:pPr>
            <w:r w:rsidRPr="00B210B5">
              <w:rPr>
                <w:rFonts w:eastAsia="Garamond"/>
                <w:color w:val="595959"/>
                <w:sz w:val="20"/>
                <w:szCs w:val="20"/>
                <w:lang w:val="es-MX"/>
              </w:rPr>
              <w:t>Modelo de evitación</w:t>
            </w:r>
          </w:p>
        </w:tc>
      </w:tr>
    </w:tbl>
    <w:p w14:paraId="32549D43" w14:textId="6A38B129" w:rsidR="00171ACE" w:rsidRDefault="00171ACE" w:rsidP="00171ACE">
      <w:pPr>
        <w:shd w:val="clear" w:color="auto" w:fill="FFFFFF"/>
        <w:spacing w:line="240" w:lineRule="auto"/>
        <w:jc w:val="both"/>
        <w:rPr>
          <w:rFonts w:eastAsia="Garamond"/>
          <w:i/>
          <w:sz w:val="20"/>
          <w:szCs w:val="20"/>
          <w:lang w:val="es-MX"/>
        </w:rPr>
      </w:pPr>
    </w:p>
    <w:p w14:paraId="547B4858" w14:textId="77777777" w:rsidR="00F549DB" w:rsidRDefault="00F549DB" w:rsidP="00F549DB">
      <w:pPr>
        <w:rPr>
          <w:b/>
          <w:bCs/>
        </w:rPr>
      </w:pPr>
      <w:r>
        <w:rPr>
          <w:b/>
          <w:bCs/>
          <w:shd w:val="clear" w:color="auto" w:fill="92D050"/>
        </w:rPr>
        <w:t xml:space="preserve">RETROALIMENTACIÓN: </w:t>
      </w:r>
    </w:p>
    <w:p w14:paraId="18933DCD" w14:textId="77777777" w:rsidR="00F549DB" w:rsidRDefault="00F549DB" w:rsidP="00F549DB">
      <w:r>
        <w:t>¡Excelente! Te felicito, has superado la actividad.</w:t>
      </w:r>
    </w:p>
    <w:p w14:paraId="63B68F2D" w14:textId="77777777" w:rsidR="00F549DB" w:rsidRDefault="00F549DB" w:rsidP="00F549DB"/>
    <w:p w14:paraId="6D9FA9E8" w14:textId="77777777" w:rsidR="00F549DB" w:rsidRDefault="00F549DB" w:rsidP="00F549DB">
      <w:r>
        <w:rPr>
          <w:b/>
          <w:bCs/>
          <w:color w:val="FFFFFF" w:themeColor="background1"/>
          <w:shd w:val="clear" w:color="auto" w:fill="FF0000"/>
        </w:rPr>
        <w:t>RETROALIMENTACIÓN:</w:t>
      </w:r>
    </w:p>
    <w:p w14:paraId="21460D17" w14:textId="77777777" w:rsidR="00F549DB" w:rsidRDefault="00F549DB" w:rsidP="00F549DB">
      <w:r>
        <w:t>Te recomendamos volver a revisar el componente formativo e intentar nuevamente la actividad didáctica.</w:t>
      </w:r>
    </w:p>
    <w:p w14:paraId="140A106D" w14:textId="77777777" w:rsidR="00F549DB" w:rsidRPr="00B210B5" w:rsidRDefault="00F549DB" w:rsidP="00171ACE">
      <w:pPr>
        <w:shd w:val="clear" w:color="auto" w:fill="FFFFFF"/>
        <w:spacing w:line="240" w:lineRule="auto"/>
        <w:jc w:val="both"/>
        <w:rPr>
          <w:rFonts w:eastAsia="Garamond"/>
          <w:i/>
          <w:sz w:val="20"/>
          <w:szCs w:val="20"/>
          <w:lang w:val="es-MX"/>
        </w:rPr>
      </w:pPr>
    </w:p>
    <w:p w14:paraId="0C6CAA1F" w14:textId="77777777" w:rsidR="00D27F96" w:rsidRDefault="00D27F96"/>
    <w:sectPr w:rsidR="00D27F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B5ACB"/>
    <w:multiLevelType w:val="multilevel"/>
    <w:tmpl w:val="DB4A28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Garamond" w:eastAsia="Garamond" w:hAnsi="Garamond" w:cs="Garamond"/>
      </w:rPr>
    </w:lvl>
    <w:lvl w:ilvl="3">
      <w:start w:val="1"/>
      <w:numFmt w:val="upperLetter"/>
      <w:lvlText w:val="%4."/>
      <w:lvlJc w:val="left"/>
      <w:pPr>
        <w:ind w:left="360" w:hanging="360"/>
      </w:pPr>
      <w:rPr>
        <w:b/>
        <w:color w:val="00000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337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CE"/>
    <w:rsid w:val="00024A7B"/>
    <w:rsid w:val="000410CE"/>
    <w:rsid w:val="00171ACE"/>
    <w:rsid w:val="001C011A"/>
    <w:rsid w:val="00252AF9"/>
    <w:rsid w:val="002827A0"/>
    <w:rsid w:val="00304E41"/>
    <w:rsid w:val="004D628D"/>
    <w:rsid w:val="005319F5"/>
    <w:rsid w:val="00611A67"/>
    <w:rsid w:val="0067522A"/>
    <w:rsid w:val="006E7785"/>
    <w:rsid w:val="00713025"/>
    <w:rsid w:val="00754548"/>
    <w:rsid w:val="008D008B"/>
    <w:rsid w:val="00931D77"/>
    <w:rsid w:val="00A24172"/>
    <w:rsid w:val="00B776E4"/>
    <w:rsid w:val="00BD28EB"/>
    <w:rsid w:val="00D27F96"/>
    <w:rsid w:val="00D66F87"/>
    <w:rsid w:val="00DB732F"/>
    <w:rsid w:val="00DF6394"/>
    <w:rsid w:val="00F549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D8E3"/>
  <w15:chartTrackingRefBased/>
  <w15:docId w15:val="{3340EDE0-B955-4ADF-8304-505559DF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CE"/>
    <w:pPr>
      <w:spacing w:after="0" w:line="276" w:lineRule="auto"/>
    </w:pPr>
    <w:rPr>
      <w:rFonts w:ascii="Arial" w:eastAsia="Arial" w:hAnsi="Arial" w:cs="Arial"/>
      <w:kern w:val="0"/>
      <w:lang w:eastAsia="es-MX"/>
      <w14:ligatures w14:val="none"/>
    </w:rPr>
  </w:style>
  <w:style w:type="paragraph" w:styleId="Heading1">
    <w:name w:val="heading 1"/>
    <w:basedOn w:val="Normal"/>
    <w:next w:val="Normal"/>
    <w:link w:val="Heading1Char"/>
    <w:uiPriority w:val="9"/>
    <w:qFormat/>
    <w:rsid w:val="00171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A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A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A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A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E"/>
    <w:rPr>
      <w:rFonts w:asciiTheme="majorHAnsi" w:eastAsiaTheme="majorEastAsia" w:hAnsiTheme="majorHAnsi" w:cstheme="majorBidi"/>
      <w:color w:val="2F5496" w:themeColor="accent1" w:themeShade="BF"/>
      <w:sz w:val="40"/>
      <w:szCs w:val="40"/>
      <w:lang w:val="es-MX"/>
    </w:rPr>
  </w:style>
  <w:style w:type="character" w:customStyle="1" w:styleId="Heading2Char">
    <w:name w:val="Heading 2 Char"/>
    <w:basedOn w:val="DefaultParagraphFont"/>
    <w:link w:val="Heading2"/>
    <w:uiPriority w:val="9"/>
    <w:semiHidden/>
    <w:rsid w:val="00171ACE"/>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semiHidden/>
    <w:rsid w:val="00171ACE"/>
    <w:rPr>
      <w:rFonts w:eastAsiaTheme="majorEastAsia" w:cstheme="majorBidi"/>
      <w:color w:val="2F5496" w:themeColor="accent1" w:themeShade="BF"/>
      <w:sz w:val="28"/>
      <w:szCs w:val="28"/>
      <w:lang w:val="es-MX"/>
    </w:rPr>
  </w:style>
  <w:style w:type="character" w:customStyle="1" w:styleId="Heading4Char">
    <w:name w:val="Heading 4 Char"/>
    <w:basedOn w:val="DefaultParagraphFont"/>
    <w:link w:val="Heading4"/>
    <w:uiPriority w:val="9"/>
    <w:semiHidden/>
    <w:rsid w:val="00171ACE"/>
    <w:rPr>
      <w:rFonts w:eastAsiaTheme="majorEastAsia" w:cstheme="majorBidi"/>
      <w:i/>
      <w:iCs/>
      <w:color w:val="2F5496" w:themeColor="accent1" w:themeShade="BF"/>
      <w:lang w:val="es-MX"/>
    </w:rPr>
  </w:style>
  <w:style w:type="character" w:customStyle="1" w:styleId="Heading5Char">
    <w:name w:val="Heading 5 Char"/>
    <w:basedOn w:val="DefaultParagraphFont"/>
    <w:link w:val="Heading5"/>
    <w:uiPriority w:val="9"/>
    <w:semiHidden/>
    <w:rsid w:val="00171ACE"/>
    <w:rPr>
      <w:rFonts w:eastAsiaTheme="majorEastAsia" w:cstheme="majorBidi"/>
      <w:color w:val="2F5496" w:themeColor="accent1" w:themeShade="BF"/>
      <w:lang w:val="es-MX"/>
    </w:rPr>
  </w:style>
  <w:style w:type="character" w:customStyle="1" w:styleId="Heading6Char">
    <w:name w:val="Heading 6 Char"/>
    <w:basedOn w:val="DefaultParagraphFont"/>
    <w:link w:val="Heading6"/>
    <w:uiPriority w:val="9"/>
    <w:semiHidden/>
    <w:rsid w:val="00171ACE"/>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171ACE"/>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171ACE"/>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171ACE"/>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171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E"/>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171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ACE"/>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171ACE"/>
    <w:pPr>
      <w:spacing w:before="160"/>
      <w:jc w:val="center"/>
    </w:pPr>
    <w:rPr>
      <w:i/>
      <w:iCs/>
      <w:color w:val="404040" w:themeColor="text1" w:themeTint="BF"/>
    </w:rPr>
  </w:style>
  <w:style w:type="character" w:customStyle="1" w:styleId="QuoteChar">
    <w:name w:val="Quote Char"/>
    <w:basedOn w:val="DefaultParagraphFont"/>
    <w:link w:val="Quote"/>
    <w:uiPriority w:val="29"/>
    <w:rsid w:val="00171ACE"/>
    <w:rPr>
      <w:i/>
      <w:iCs/>
      <w:color w:val="404040" w:themeColor="text1" w:themeTint="BF"/>
      <w:lang w:val="es-MX"/>
    </w:rPr>
  </w:style>
  <w:style w:type="paragraph" w:styleId="ListParagraph">
    <w:name w:val="List Paragraph"/>
    <w:basedOn w:val="Normal"/>
    <w:uiPriority w:val="34"/>
    <w:qFormat/>
    <w:rsid w:val="00171ACE"/>
    <w:pPr>
      <w:ind w:left="720"/>
      <w:contextualSpacing/>
    </w:pPr>
  </w:style>
  <w:style w:type="character" w:styleId="IntenseEmphasis">
    <w:name w:val="Intense Emphasis"/>
    <w:basedOn w:val="DefaultParagraphFont"/>
    <w:uiPriority w:val="21"/>
    <w:qFormat/>
    <w:rsid w:val="00171ACE"/>
    <w:rPr>
      <w:i/>
      <w:iCs/>
      <w:color w:val="2F5496" w:themeColor="accent1" w:themeShade="BF"/>
    </w:rPr>
  </w:style>
  <w:style w:type="paragraph" w:styleId="IntenseQuote">
    <w:name w:val="Intense Quote"/>
    <w:basedOn w:val="Normal"/>
    <w:next w:val="Normal"/>
    <w:link w:val="IntenseQuoteChar"/>
    <w:uiPriority w:val="30"/>
    <w:qFormat/>
    <w:rsid w:val="00171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ACE"/>
    <w:rPr>
      <w:i/>
      <w:iCs/>
      <w:color w:val="2F5496" w:themeColor="accent1" w:themeShade="BF"/>
      <w:lang w:val="es-MX"/>
    </w:rPr>
  </w:style>
  <w:style w:type="character" w:styleId="IntenseReference">
    <w:name w:val="Intense Reference"/>
    <w:basedOn w:val="DefaultParagraphFont"/>
    <w:uiPriority w:val="32"/>
    <w:qFormat/>
    <w:rsid w:val="00171A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6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710</Words>
  <Characters>3909</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Moya</dc:creator>
  <cp:keywords/>
  <dc:description/>
  <cp:lastModifiedBy>Paola Moya</cp:lastModifiedBy>
  <cp:revision>8</cp:revision>
  <dcterms:created xsi:type="dcterms:W3CDTF">2024-04-29T23:36:00Z</dcterms:created>
  <dcterms:modified xsi:type="dcterms:W3CDTF">2024-05-08T05:41:00Z</dcterms:modified>
</cp:coreProperties>
</file>